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2D0E5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rPr>
          <w:gridAfter w:val="1"/>
          <w:wAfter w:w="15" w:type="dxa"/>
        </w:trPr>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DC7FD5" w:rsidP="0026024D">
            <w:pPr>
              <w:rPr>
                <w:rFonts w:cs="Arial"/>
                <w:szCs w:val="24"/>
              </w:rPr>
            </w:pPr>
            <w:r>
              <w:rPr>
                <w:rFonts w:cs="Arial"/>
                <w:szCs w:val="24"/>
              </w:rPr>
              <w:t>9 January  20</w:t>
            </w:r>
            <w:r w:rsidR="0026024D">
              <w:rPr>
                <w:rFonts w:cs="Arial"/>
                <w:szCs w:val="24"/>
              </w:rPr>
              <w:t>20</w:t>
            </w:r>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242446" w:rsidP="00242446">
            <w:pPr>
              <w:rPr>
                <w:rFonts w:cs="Arial"/>
                <w:szCs w:val="24"/>
              </w:rPr>
            </w:pPr>
            <w:r>
              <w:rPr>
                <w:rFonts w:cs="Arial"/>
              </w:rPr>
              <w:t>Calculation of Business Rates Tax Base for 2020-21</w:t>
            </w:r>
            <w:r w:rsidR="00A93C4F">
              <w:rPr>
                <w:rFonts w:cs="Arial"/>
              </w:rPr>
              <w:t xml:space="preserve"> </w:t>
            </w:r>
            <w:bookmarkStart w:id="0" w:name="_GoBack"/>
            <w:bookmarkEnd w:id="0"/>
          </w:p>
        </w:tc>
      </w:tr>
      <w:tr w:rsidR="00333FAA">
        <w:trPr>
          <w:gridAfter w:val="1"/>
          <w:wAfter w:w="15" w:type="dxa"/>
        </w:trPr>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333FAA"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DC7FD5" w:rsidRPr="00A961E8" w:rsidRDefault="00DC7FD5" w:rsidP="00DC7FD5">
            <w:pPr>
              <w:rPr>
                <w:bCs/>
                <w:szCs w:val="24"/>
              </w:rPr>
            </w:pPr>
            <w:r>
              <w:rPr>
                <w:bCs/>
                <w:szCs w:val="24"/>
              </w:rPr>
              <w:t>Dawn Calvert,</w:t>
            </w:r>
            <w:r w:rsidRPr="00A961E8">
              <w:rPr>
                <w:bCs/>
                <w:szCs w:val="24"/>
              </w:rPr>
              <w:t xml:space="preserve"> Director of Finance</w:t>
            </w:r>
            <w:r>
              <w:rPr>
                <w:bCs/>
                <w:szCs w:val="24"/>
              </w:rPr>
              <w:t>, Resources Directorate</w:t>
            </w:r>
          </w:p>
          <w:p w:rsidR="001C7E35" w:rsidRPr="005E3A10" w:rsidRDefault="001C7E35" w:rsidP="00DC7FD5">
            <w:pPr>
              <w:pStyle w:val="Infotext"/>
              <w:rPr>
                <w:rFonts w:cs="Arial"/>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DC7FD5" w:rsidRPr="00DC7FD5" w:rsidRDefault="00DC7FD5" w:rsidP="00D835CF">
            <w:pPr>
              <w:pStyle w:val="Infotext"/>
              <w:rPr>
                <w:rFonts w:cs="Arial"/>
                <w:sz w:val="24"/>
                <w:szCs w:val="24"/>
              </w:rPr>
            </w:pPr>
            <w:r w:rsidRPr="00DC7FD5">
              <w:rPr>
                <w:sz w:val="24"/>
                <w:szCs w:val="24"/>
              </w:rPr>
              <w:t xml:space="preserve">Adam </w:t>
            </w:r>
            <w:proofErr w:type="spellStart"/>
            <w:r w:rsidRPr="00DC7FD5">
              <w:rPr>
                <w:sz w:val="24"/>
                <w:szCs w:val="24"/>
              </w:rPr>
              <w:t>Swersky</w:t>
            </w:r>
            <w:proofErr w:type="spellEnd"/>
            <w:r w:rsidRPr="00DC7FD5">
              <w:rPr>
                <w:sz w:val="24"/>
                <w:szCs w:val="24"/>
              </w:rPr>
              <w:t xml:space="preserve"> Finance</w:t>
            </w:r>
            <w:r w:rsidR="00E66229">
              <w:rPr>
                <w:sz w:val="24"/>
                <w:szCs w:val="24"/>
              </w:rPr>
              <w:t xml:space="preserve"> &amp; Resources</w:t>
            </w:r>
          </w:p>
          <w:p w:rsidR="001C7E35" w:rsidRPr="005E3A10" w:rsidRDefault="001C7E35" w:rsidP="00D835CF">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DC7FD5">
            <w:pPr>
              <w:pStyle w:val="Infotext"/>
              <w:rPr>
                <w:rFonts w:cs="Arial"/>
                <w:color w:val="FF0000"/>
                <w:sz w:val="24"/>
                <w:szCs w:val="24"/>
              </w:rPr>
            </w:pPr>
          </w:p>
        </w:tc>
      </w:tr>
      <w:tr w:rsidR="001C7E35">
        <w:trPr>
          <w:gridAfter w:val="1"/>
          <w:wAfter w:w="15" w:type="dxa"/>
        </w:trPr>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714BEE" w:rsidRPr="005E3A10" w:rsidRDefault="001C7E35" w:rsidP="00DC7FD5">
            <w:pPr>
              <w:pStyle w:val="Infotext"/>
              <w:rPr>
                <w:rFonts w:cs="Arial"/>
                <w:szCs w:val="24"/>
              </w:rPr>
            </w:pPr>
            <w:r w:rsidRPr="005E3A10">
              <w:rPr>
                <w:rFonts w:cs="Arial"/>
                <w:sz w:val="24"/>
                <w:szCs w:val="24"/>
              </w:rPr>
              <w:t xml:space="preserve">Yes </w:t>
            </w:r>
          </w:p>
        </w:tc>
      </w:tr>
      <w:tr w:rsidR="001C7E35">
        <w:trPr>
          <w:gridAfter w:val="1"/>
          <w:wAfter w:w="15" w:type="dxa"/>
        </w:trPr>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307F76" w:rsidRPr="00307F76" w:rsidRDefault="00DC7FD5" w:rsidP="00DC7FD5">
            <w:pPr>
              <w:rPr>
                <w:rFonts w:cs="Arial"/>
                <w:b/>
                <w:color w:val="FF0000"/>
                <w:szCs w:val="24"/>
              </w:rPr>
            </w:pPr>
            <w:r>
              <w:rPr>
                <w:rFonts w:cs="Arial"/>
                <w:szCs w:val="24"/>
              </w:rPr>
              <w:t>All</w:t>
            </w:r>
          </w:p>
        </w:tc>
      </w:tr>
      <w:tr w:rsidR="001C7E35">
        <w:trPr>
          <w:gridAfter w:val="1"/>
          <w:wAfter w:w="15" w:type="dxa"/>
        </w:trPr>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C7E35" w:rsidRPr="005E3A10" w:rsidRDefault="00DC7FD5" w:rsidP="00DC7FD5">
            <w:pPr>
              <w:pStyle w:val="Infotext"/>
              <w:rPr>
                <w:color w:val="FF0000"/>
                <w:sz w:val="24"/>
                <w:szCs w:val="24"/>
              </w:rPr>
            </w:pPr>
            <w:r>
              <w:rPr>
                <w:rFonts w:cs="Arial"/>
                <w:sz w:val="24"/>
                <w:szCs w:val="24"/>
              </w:rPr>
              <w:t>None</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A93C4F" w:rsidRDefault="00A93C4F" w:rsidP="00A93C4F">
            <w:pPr>
              <w:ind w:right="72"/>
              <w:jc w:val="both"/>
              <w:rPr>
                <w:rFonts w:cs="Arial"/>
              </w:rPr>
            </w:pPr>
            <w:r w:rsidRPr="00997EFC">
              <w:rPr>
                <w:rFonts w:cs="Arial"/>
              </w:rPr>
              <w:t>The Local Government Finance Act 1988 places a duty on the authority to calculate the business rates for the area annually as part of its budget setting process.</w:t>
            </w:r>
            <w:r>
              <w:rPr>
                <w:rFonts w:cs="Arial"/>
              </w:rPr>
              <w:t xml:space="preserve"> </w:t>
            </w:r>
          </w:p>
          <w:p w:rsidR="00A93C4F" w:rsidRDefault="00A93C4F" w:rsidP="00A93C4F">
            <w:pPr>
              <w:ind w:right="72"/>
              <w:jc w:val="both"/>
              <w:rPr>
                <w:rFonts w:cs="Arial"/>
              </w:rPr>
            </w:pPr>
          </w:p>
          <w:p w:rsidR="00A93C4F" w:rsidRDefault="00A93C4F" w:rsidP="00A93C4F">
            <w:pPr>
              <w:ind w:right="72"/>
              <w:jc w:val="both"/>
              <w:rPr>
                <w:rFonts w:cs="Arial"/>
              </w:rPr>
            </w:pPr>
            <w:r w:rsidRPr="00AF4E19">
              <w:rPr>
                <w:rFonts w:cs="Arial"/>
              </w:rPr>
              <w:t>This report estimates the business rates yield for 20</w:t>
            </w:r>
            <w:r>
              <w:rPr>
                <w:rFonts w:cs="Arial"/>
              </w:rPr>
              <w:t>20</w:t>
            </w:r>
            <w:r w:rsidRPr="00AF4E19">
              <w:rPr>
                <w:rFonts w:cs="Arial"/>
              </w:rPr>
              <w:t>-20</w:t>
            </w:r>
            <w:r>
              <w:rPr>
                <w:rFonts w:cs="Arial"/>
              </w:rPr>
              <w:t>21</w:t>
            </w:r>
            <w:r w:rsidRPr="00AF4E19">
              <w:rPr>
                <w:rFonts w:cs="Arial"/>
              </w:rPr>
              <w:t>, of which</w:t>
            </w:r>
            <w:r>
              <w:rPr>
                <w:rFonts w:cs="Arial"/>
              </w:rPr>
              <w:t xml:space="preserve"> the Council </w:t>
            </w:r>
            <w:r w:rsidRPr="00AF4E19">
              <w:rPr>
                <w:rFonts w:cs="Arial"/>
              </w:rPr>
              <w:t xml:space="preserve">is allowed to retain an element described in more detail </w:t>
            </w:r>
            <w:r>
              <w:rPr>
                <w:rFonts w:cs="Arial"/>
              </w:rPr>
              <w:t>below.</w:t>
            </w:r>
            <w:r w:rsidRPr="00AF4E19">
              <w:rPr>
                <w:rFonts w:cs="Arial"/>
              </w:rPr>
              <w:t xml:space="preserve"> This element forms an important part of budget setting for </w:t>
            </w:r>
            <w:r>
              <w:rPr>
                <w:rFonts w:cs="Arial"/>
              </w:rPr>
              <w:t xml:space="preserve">the coming </w:t>
            </w:r>
            <w:r w:rsidR="0026024D">
              <w:rPr>
                <w:rFonts w:cs="Arial"/>
              </w:rPr>
              <w:t xml:space="preserve">financial </w:t>
            </w:r>
            <w:r>
              <w:rPr>
                <w:rFonts w:cs="Arial"/>
              </w:rPr>
              <w:t>year.</w:t>
            </w:r>
          </w:p>
          <w:p w:rsidR="00A93C4F" w:rsidRPr="00997EFC" w:rsidRDefault="00A93C4F" w:rsidP="00A93C4F">
            <w:pPr>
              <w:ind w:right="72"/>
              <w:jc w:val="both"/>
              <w:rPr>
                <w:rFonts w:cs="Arial"/>
              </w:rPr>
            </w:pPr>
          </w:p>
          <w:p w:rsidR="00A93C4F" w:rsidRDefault="00A93C4F" w:rsidP="00A93C4F">
            <w:pPr>
              <w:ind w:right="72"/>
              <w:jc w:val="both"/>
              <w:rPr>
                <w:rFonts w:cs="Arial"/>
              </w:rPr>
            </w:pPr>
            <w:r w:rsidRPr="00BA6662">
              <w:rPr>
                <w:rFonts w:cs="Arial"/>
              </w:rPr>
              <w:t xml:space="preserve">Regulations require billing authorities to formally calculate the estimated level of non </w:t>
            </w:r>
            <w:proofErr w:type="gramStart"/>
            <w:r w:rsidRPr="00BA6662">
              <w:rPr>
                <w:rFonts w:cs="Arial"/>
              </w:rPr>
              <w:t>domestic  rates</w:t>
            </w:r>
            <w:proofErr w:type="gramEnd"/>
            <w:r w:rsidRPr="00BA6662">
              <w:rPr>
                <w:rFonts w:cs="Arial"/>
              </w:rPr>
              <w:t xml:space="preserve"> (NDR) it anticipates to collect for 20</w:t>
            </w:r>
            <w:r>
              <w:rPr>
                <w:rFonts w:cs="Arial"/>
              </w:rPr>
              <w:t>20</w:t>
            </w:r>
            <w:r w:rsidRPr="00BA6662">
              <w:rPr>
                <w:rFonts w:cs="Arial"/>
              </w:rPr>
              <w:t>-20</w:t>
            </w:r>
            <w:r>
              <w:rPr>
                <w:rFonts w:cs="Arial"/>
              </w:rPr>
              <w:t>21</w:t>
            </w:r>
            <w:r w:rsidRPr="00BA6662">
              <w:rPr>
                <w:rFonts w:cs="Arial"/>
              </w:rPr>
              <w:t xml:space="preserve"> and pass this information to  the Secretary of State and </w:t>
            </w:r>
            <w:proofErr w:type="spellStart"/>
            <w:r w:rsidRPr="00BA6662">
              <w:rPr>
                <w:rFonts w:cs="Arial"/>
              </w:rPr>
              <w:t>precepting</w:t>
            </w:r>
            <w:proofErr w:type="spellEnd"/>
            <w:r w:rsidRPr="00BA6662">
              <w:rPr>
                <w:rFonts w:cs="Arial"/>
              </w:rPr>
              <w:t xml:space="preserve"> authorities by  31 </w:t>
            </w:r>
            <w:r w:rsidRPr="00BA6662">
              <w:rPr>
                <w:rFonts w:cs="Arial"/>
              </w:rPr>
              <w:lastRenderedPageBreak/>
              <w:t xml:space="preserve">January in the preceding </w:t>
            </w:r>
            <w:r w:rsidR="0026024D">
              <w:rPr>
                <w:rFonts w:cs="Arial"/>
              </w:rPr>
              <w:t xml:space="preserve">financial </w:t>
            </w:r>
            <w:r w:rsidRPr="00BA6662">
              <w:rPr>
                <w:rFonts w:cs="Arial"/>
              </w:rPr>
              <w:t xml:space="preserve">year.  </w:t>
            </w:r>
          </w:p>
          <w:p w:rsidR="00A93C4F" w:rsidRDefault="00A93C4F" w:rsidP="00A93C4F">
            <w:pPr>
              <w:ind w:right="72"/>
              <w:jc w:val="both"/>
              <w:rPr>
                <w:rFonts w:cs="Arial"/>
              </w:rPr>
            </w:pPr>
          </w:p>
          <w:p w:rsidR="00A93C4F" w:rsidRDefault="00A93C4F" w:rsidP="00A93C4F">
            <w:pPr>
              <w:ind w:right="72"/>
              <w:jc w:val="both"/>
              <w:rPr>
                <w:rFonts w:cs="Arial"/>
              </w:rPr>
            </w:pPr>
            <w:r>
              <w:rPr>
                <w:rFonts w:cs="Arial"/>
              </w:rPr>
              <w:t>Government has confirmed the stopping of the 75%</w:t>
            </w:r>
            <w:r w:rsidRPr="0036638F">
              <w:rPr>
                <w:rFonts w:cs="Arial"/>
              </w:rPr>
              <w:t xml:space="preserve"> business rates retention pilot for 20</w:t>
            </w:r>
            <w:r>
              <w:rPr>
                <w:rFonts w:cs="Arial"/>
              </w:rPr>
              <w:t>20</w:t>
            </w:r>
            <w:r w:rsidRPr="0036638F">
              <w:rPr>
                <w:rFonts w:cs="Arial"/>
              </w:rPr>
              <w:t>/2</w:t>
            </w:r>
            <w:r>
              <w:rPr>
                <w:rFonts w:cs="Arial"/>
              </w:rPr>
              <w:t>1</w:t>
            </w:r>
            <w:r w:rsidRPr="0036638F">
              <w:rPr>
                <w:rFonts w:cs="Arial"/>
              </w:rPr>
              <w:t xml:space="preserve"> financial year. </w:t>
            </w:r>
            <w:r>
              <w:rPr>
                <w:rFonts w:cs="Arial"/>
              </w:rPr>
              <w:t>T</w:t>
            </w:r>
            <w:r w:rsidRPr="0036638F">
              <w:rPr>
                <w:rFonts w:cs="Arial"/>
              </w:rPr>
              <w:t xml:space="preserve">he Local Authorities share, and therefore Harrow’s business rates share, has changed </w:t>
            </w:r>
            <w:r>
              <w:rPr>
                <w:rFonts w:cs="Arial"/>
              </w:rPr>
              <w:t xml:space="preserve">from 48% </w:t>
            </w:r>
            <w:r w:rsidRPr="0036638F">
              <w:rPr>
                <w:rFonts w:cs="Arial"/>
              </w:rPr>
              <w:t xml:space="preserve">to </w:t>
            </w:r>
            <w:r>
              <w:rPr>
                <w:rFonts w:cs="Arial"/>
              </w:rPr>
              <w:t>30</w:t>
            </w:r>
            <w:r w:rsidRPr="0036638F">
              <w:rPr>
                <w:rFonts w:cs="Arial"/>
              </w:rPr>
              <w:t xml:space="preserve">%, (i.e. the central share will be </w:t>
            </w:r>
            <w:r>
              <w:rPr>
                <w:rFonts w:cs="Arial"/>
              </w:rPr>
              <w:t>33</w:t>
            </w:r>
            <w:r w:rsidRPr="0036638F">
              <w:rPr>
                <w:rFonts w:cs="Arial"/>
              </w:rPr>
              <w:t xml:space="preserve">% with the </w:t>
            </w:r>
            <w:r>
              <w:rPr>
                <w:rFonts w:cs="Arial"/>
              </w:rPr>
              <w:t>67</w:t>
            </w:r>
            <w:r w:rsidRPr="0036638F">
              <w:rPr>
                <w:rFonts w:cs="Arial"/>
              </w:rPr>
              <w:t xml:space="preserve">% local share being split </w:t>
            </w:r>
            <w:r>
              <w:rPr>
                <w:rFonts w:cs="Arial"/>
              </w:rPr>
              <w:t>37</w:t>
            </w:r>
            <w:r w:rsidRPr="0036638F">
              <w:rPr>
                <w:rFonts w:cs="Arial"/>
              </w:rPr>
              <w:t>% GLA</w:t>
            </w:r>
            <w:r>
              <w:rPr>
                <w:rFonts w:cs="Arial"/>
              </w:rPr>
              <w:t xml:space="preserve"> </w:t>
            </w:r>
            <w:r w:rsidRPr="0036638F">
              <w:rPr>
                <w:rFonts w:cs="Arial"/>
              </w:rPr>
              <w:t>/</w:t>
            </w:r>
            <w:r>
              <w:rPr>
                <w:rFonts w:cs="Arial"/>
              </w:rPr>
              <w:t xml:space="preserve"> 30</w:t>
            </w:r>
            <w:r w:rsidRPr="0036638F">
              <w:rPr>
                <w:rFonts w:cs="Arial"/>
              </w:rPr>
              <w:t>% boroughs.</w:t>
            </w:r>
          </w:p>
          <w:p w:rsidR="00A93C4F" w:rsidRDefault="00A93C4F" w:rsidP="00A93C4F">
            <w:pPr>
              <w:ind w:right="72"/>
              <w:jc w:val="both"/>
              <w:rPr>
                <w:rFonts w:cs="Arial"/>
              </w:rPr>
            </w:pPr>
          </w:p>
          <w:p w:rsidR="00A93C4F" w:rsidRDefault="00A93C4F" w:rsidP="00A93C4F">
            <w:pPr>
              <w:ind w:right="72"/>
              <w:jc w:val="both"/>
              <w:rPr>
                <w:rFonts w:cs="Arial"/>
              </w:rPr>
            </w:pPr>
            <w:r w:rsidRPr="00C94745">
              <w:rPr>
                <w:rFonts w:cs="Arial"/>
              </w:rPr>
              <w:t xml:space="preserve">Leaders’ Committee </w:t>
            </w:r>
            <w:r>
              <w:rPr>
                <w:rFonts w:cs="Arial"/>
              </w:rPr>
              <w:t>have however agr</w:t>
            </w:r>
            <w:r w:rsidRPr="00C94745">
              <w:rPr>
                <w:rFonts w:cs="Arial"/>
              </w:rPr>
              <w:t>eed to continue to pool business rates across all 34 London authorities in 2020</w:t>
            </w:r>
            <w:r>
              <w:rPr>
                <w:rFonts w:cs="Arial"/>
              </w:rPr>
              <w:t>/</w:t>
            </w:r>
            <w:r w:rsidRPr="00C94745">
              <w:rPr>
                <w:rFonts w:cs="Arial"/>
              </w:rPr>
              <w:t>21 – subject to the Mayor agreeing to forgo the GLA’s share of any net financial benefit.</w:t>
            </w:r>
          </w:p>
          <w:p w:rsidR="00A93C4F" w:rsidRPr="00BA6662" w:rsidRDefault="00A93C4F" w:rsidP="00A93C4F">
            <w:pPr>
              <w:ind w:right="72"/>
              <w:jc w:val="both"/>
              <w:rPr>
                <w:rFonts w:cs="Arial"/>
              </w:rPr>
            </w:pPr>
          </w:p>
          <w:p w:rsidR="00A93C4F" w:rsidRPr="00997EFC" w:rsidRDefault="00A93C4F" w:rsidP="00A93C4F">
            <w:pPr>
              <w:outlineLvl w:val="1"/>
              <w:rPr>
                <w:rFonts w:cs="Arial"/>
                <w:b/>
                <w:bCs/>
                <w:sz w:val="28"/>
                <w:szCs w:val="32"/>
              </w:rPr>
            </w:pPr>
            <w:r w:rsidRPr="00997EFC">
              <w:rPr>
                <w:rFonts w:cs="Arial"/>
                <w:b/>
                <w:bCs/>
                <w:sz w:val="28"/>
                <w:szCs w:val="32"/>
              </w:rPr>
              <w:t xml:space="preserve">Recommendations: </w:t>
            </w:r>
          </w:p>
          <w:p w:rsidR="00A93C4F" w:rsidRPr="00997EFC" w:rsidRDefault="00A93C4F" w:rsidP="00A93C4F">
            <w:pPr>
              <w:ind w:right="-104"/>
              <w:rPr>
                <w:rFonts w:cs="Arial"/>
              </w:rPr>
            </w:pPr>
            <w:r w:rsidRPr="00997EFC">
              <w:rPr>
                <w:rFonts w:cs="Arial"/>
              </w:rPr>
              <w:t xml:space="preserve">That Cabinet considers the information given in this report and: </w:t>
            </w:r>
          </w:p>
          <w:p w:rsidR="00A93C4F" w:rsidRPr="00997EFC" w:rsidRDefault="00A93C4F" w:rsidP="00A93C4F">
            <w:pPr>
              <w:ind w:right="-104"/>
              <w:rPr>
                <w:rFonts w:cs="Arial"/>
              </w:rPr>
            </w:pPr>
            <w:r w:rsidRPr="00997EFC">
              <w:rPr>
                <w:rFonts w:cs="Arial"/>
              </w:rPr>
              <w:t xml:space="preserve">  </w:t>
            </w:r>
          </w:p>
          <w:p w:rsidR="00A93C4F" w:rsidRDefault="00A93C4F" w:rsidP="00A93C4F">
            <w:pPr>
              <w:numPr>
                <w:ilvl w:val="0"/>
                <w:numId w:val="9"/>
              </w:numPr>
              <w:ind w:right="-104"/>
              <w:jc w:val="both"/>
              <w:rPr>
                <w:rFonts w:cs="Arial"/>
              </w:rPr>
            </w:pPr>
            <w:r>
              <w:rPr>
                <w:rFonts w:cs="Arial"/>
              </w:rPr>
              <w:t xml:space="preserve">Note </w:t>
            </w:r>
            <w:r w:rsidRPr="005B5F35">
              <w:rPr>
                <w:rFonts w:cs="Arial"/>
              </w:rPr>
              <w:t xml:space="preserve">the approach and assumptions for the calculation of the Council’s business rates yield as set out </w:t>
            </w:r>
            <w:r>
              <w:rPr>
                <w:rFonts w:cs="Arial"/>
              </w:rPr>
              <w:t>in this report</w:t>
            </w:r>
            <w:r w:rsidRPr="005B5F35">
              <w:rPr>
                <w:rFonts w:cs="Arial"/>
              </w:rPr>
              <w:t>.</w:t>
            </w:r>
          </w:p>
          <w:p w:rsidR="00A93C4F" w:rsidRPr="005B5F35" w:rsidRDefault="00A93C4F" w:rsidP="00A93C4F">
            <w:pPr>
              <w:ind w:left="360" w:right="-104"/>
              <w:jc w:val="both"/>
              <w:rPr>
                <w:rFonts w:cs="Arial"/>
              </w:rPr>
            </w:pPr>
          </w:p>
          <w:p w:rsidR="00A93C4F" w:rsidRDefault="00A93C4F" w:rsidP="00A93C4F">
            <w:pPr>
              <w:numPr>
                <w:ilvl w:val="0"/>
                <w:numId w:val="9"/>
              </w:numPr>
              <w:ind w:right="-104"/>
              <w:jc w:val="both"/>
              <w:rPr>
                <w:rFonts w:cs="Arial"/>
              </w:rPr>
            </w:pPr>
            <w:r>
              <w:rPr>
                <w:rFonts w:cs="Arial"/>
              </w:rPr>
              <w:t>Agrees t</w:t>
            </w:r>
            <w:r w:rsidRPr="00AF4E19">
              <w:rPr>
                <w:rFonts w:cs="Arial"/>
              </w:rPr>
              <w:t xml:space="preserve">hat, in accordance with the Non-Domestic Rating (Rates Retention) Regulations 2013, the amount calculated by the London Borough of </w:t>
            </w:r>
          </w:p>
          <w:p w:rsidR="00A93C4F" w:rsidRDefault="00A93C4F" w:rsidP="00A93C4F">
            <w:pPr>
              <w:ind w:left="360" w:right="-104"/>
              <w:jc w:val="both"/>
              <w:rPr>
                <w:rFonts w:cs="Arial"/>
              </w:rPr>
            </w:pPr>
            <w:r w:rsidRPr="00AF4E19">
              <w:rPr>
                <w:rFonts w:cs="Arial"/>
              </w:rPr>
              <w:t>Harrow as its business rates yield for the year 20</w:t>
            </w:r>
            <w:r>
              <w:rPr>
                <w:rFonts w:cs="Arial"/>
              </w:rPr>
              <w:t>20</w:t>
            </w:r>
            <w:r w:rsidRPr="00AF4E19">
              <w:rPr>
                <w:rFonts w:cs="Arial"/>
              </w:rPr>
              <w:t>-20</w:t>
            </w:r>
            <w:r>
              <w:rPr>
                <w:rFonts w:cs="Arial"/>
              </w:rPr>
              <w:t>21</w:t>
            </w:r>
            <w:r w:rsidRPr="00AF4E19">
              <w:rPr>
                <w:rFonts w:cs="Arial"/>
              </w:rPr>
              <w:t xml:space="preserve"> shall be </w:t>
            </w:r>
            <w:r w:rsidRPr="005D0068">
              <w:rPr>
                <w:rFonts w:cs="Arial"/>
                <w:color w:val="FF0000"/>
              </w:rPr>
              <w:t>£</w:t>
            </w:r>
            <w:r>
              <w:rPr>
                <w:rFonts w:cs="Arial"/>
                <w:color w:val="FF0000"/>
              </w:rPr>
              <w:t>14.942</w:t>
            </w:r>
            <w:r w:rsidRPr="005D0068">
              <w:rPr>
                <w:rFonts w:cs="Arial"/>
                <w:color w:val="FF0000"/>
              </w:rPr>
              <w:t>m</w:t>
            </w:r>
            <w:r>
              <w:rPr>
                <w:rFonts w:cs="Arial"/>
              </w:rPr>
              <w:t xml:space="preserve"> as shown in the table below.</w:t>
            </w:r>
          </w:p>
          <w:p w:rsidR="00A93C4F" w:rsidRDefault="00A93C4F" w:rsidP="00A93C4F">
            <w:pPr>
              <w:ind w:left="360" w:right="-104"/>
              <w:jc w:val="both"/>
              <w:rPr>
                <w:rFonts w:cs="Arial"/>
              </w:rPr>
            </w:pPr>
          </w:p>
          <w:p w:rsidR="00A93C4F" w:rsidRDefault="00A93C4F" w:rsidP="00A93C4F">
            <w:pPr>
              <w:pStyle w:val="ListParagraph"/>
            </w:pPr>
          </w:p>
          <w:tbl>
            <w:tblPr>
              <w:tblW w:w="776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640"/>
              <w:gridCol w:w="1173"/>
            </w:tblGrid>
            <w:tr w:rsidR="00A93C4F" w:rsidRPr="00997EFC" w:rsidTr="000D01C8">
              <w:tc>
                <w:tcPr>
                  <w:tcW w:w="948" w:type="dxa"/>
                </w:tcPr>
                <w:p w:rsidR="00A93C4F" w:rsidRPr="00161879" w:rsidRDefault="00A93C4F" w:rsidP="000D01C8">
                  <w:pPr>
                    <w:ind w:right="-104"/>
                    <w:rPr>
                      <w:rFonts w:cs="Arial"/>
                    </w:rPr>
                  </w:pPr>
                </w:p>
              </w:tc>
              <w:tc>
                <w:tcPr>
                  <w:tcW w:w="5640" w:type="dxa"/>
                </w:tcPr>
                <w:p w:rsidR="00A93C4F" w:rsidRPr="00161879" w:rsidRDefault="00A93C4F" w:rsidP="000D01C8">
                  <w:pPr>
                    <w:ind w:right="-104"/>
                    <w:rPr>
                      <w:rFonts w:cs="Arial"/>
                    </w:rPr>
                  </w:pPr>
                </w:p>
              </w:tc>
              <w:tc>
                <w:tcPr>
                  <w:tcW w:w="1173" w:type="dxa"/>
                </w:tcPr>
                <w:p w:rsidR="00A93C4F" w:rsidRPr="00161879" w:rsidRDefault="00A93C4F" w:rsidP="000D01C8">
                  <w:pPr>
                    <w:ind w:right="-104"/>
                    <w:jc w:val="center"/>
                    <w:rPr>
                      <w:rFonts w:cs="Arial"/>
                    </w:rPr>
                  </w:pPr>
                  <w:r w:rsidRPr="00161879">
                    <w:rPr>
                      <w:rFonts w:cs="Arial"/>
                    </w:rPr>
                    <w:t>£m</w:t>
                  </w:r>
                </w:p>
              </w:tc>
            </w:tr>
            <w:tr w:rsidR="00A93C4F" w:rsidRPr="00997EFC" w:rsidTr="000D01C8">
              <w:tc>
                <w:tcPr>
                  <w:tcW w:w="948" w:type="dxa"/>
                </w:tcPr>
                <w:p w:rsidR="00A93C4F" w:rsidRPr="00161879" w:rsidRDefault="00A93C4F" w:rsidP="000D01C8">
                  <w:pPr>
                    <w:ind w:right="-104"/>
                    <w:rPr>
                      <w:rFonts w:cs="Arial"/>
                    </w:rPr>
                  </w:pPr>
                </w:p>
              </w:tc>
              <w:tc>
                <w:tcPr>
                  <w:tcW w:w="5640" w:type="dxa"/>
                </w:tcPr>
                <w:p w:rsidR="00A93C4F" w:rsidRPr="00161879" w:rsidRDefault="00A93C4F" w:rsidP="000D01C8">
                  <w:pPr>
                    <w:ind w:right="-104"/>
                    <w:rPr>
                      <w:rFonts w:cs="Arial"/>
                    </w:rPr>
                  </w:pPr>
                  <w:r w:rsidRPr="00161879">
                    <w:rPr>
                      <w:rFonts w:cs="Arial"/>
                    </w:rPr>
                    <w:t>Projected NDR Income 20</w:t>
                  </w:r>
                  <w:r>
                    <w:rPr>
                      <w:rFonts w:cs="Arial"/>
                    </w:rPr>
                    <w:t>20</w:t>
                  </w:r>
                  <w:r w:rsidRPr="00161879">
                    <w:rPr>
                      <w:rFonts w:cs="Arial"/>
                    </w:rPr>
                    <w:t>/2</w:t>
                  </w:r>
                  <w:r>
                    <w:rPr>
                      <w:rFonts w:cs="Arial"/>
                    </w:rPr>
                    <w:t>1</w:t>
                  </w:r>
                </w:p>
              </w:tc>
              <w:tc>
                <w:tcPr>
                  <w:tcW w:w="1173" w:type="dxa"/>
                </w:tcPr>
                <w:p w:rsidR="00A93C4F" w:rsidRPr="005D0068" w:rsidRDefault="00A93C4F" w:rsidP="000D01C8">
                  <w:pPr>
                    <w:ind w:left="-468" w:right="-104" w:firstLine="468"/>
                    <w:jc w:val="center"/>
                    <w:rPr>
                      <w:rFonts w:cs="Arial"/>
                      <w:color w:val="FF0000"/>
                    </w:rPr>
                  </w:pPr>
                  <w:r>
                    <w:rPr>
                      <w:rFonts w:cs="Arial"/>
                      <w:color w:val="FF0000"/>
                    </w:rPr>
                    <w:t>49</w:t>
                  </w:r>
                  <w:r w:rsidRPr="005D0068">
                    <w:rPr>
                      <w:rFonts w:cs="Arial"/>
                      <w:color w:val="FF0000"/>
                    </w:rPr>
                    <w:t>.</w:t>
                  </w:r>
                  <w:r>
                    <w:rPr>
                      <w:rFonts w:cs="Arial"/>
                      <w:color w:val="FF0000"/>
                    </w:rPr>
                    <w:t>806</w:t>
                  </w:r>
                </w:p>
              </w:tc>
            </w:tr>
            <w:tr w:rsidR="00A93C4F" w:rsidRPr="00997EFC" w:rsidTr="000D01C8">
              <w:tc>
                <w:tcPr>
                  <w:tcW w:w="948" w:type="dxa"/>
                </w:tcPr>
                <w:p w:rsidR="00A93C4F" w:rsidRPr="00161879" w:rsidRDefault="00A93C4F" w:rsidP="000D01C8">
                  <w:pPr>
                    <w:ind w:right="-104"/>
                    <w:rPr>
                      <w:rFonts w:cs="Arial"/>
                    </w:rPr>
                  </w:pPr>
                  <w:r w:rsidRPr="00161879">
                    <w:rPr>
                      <w:rFonts w:cs="Arial"/>
                    </w:rPr>
                    <w:t>Less</w:t>
                  </w:r>
                </w:p>
              </w:tc>
              <w:tc>
                <w:tcPr>
                  <w:tcW w:w="5640" w:type="dxa"/>
                </w:tcPr>
                <w:p w:rsidR="00A93C4F" w:rsidRPr="00161879" w:rsidRDefault="00A93C4F" w:rsidP="000D01C8">
                  <w:pPr>
                    <w:ind w:right="-104"/>
                    <w:rPr>
                      <w:rFonts w:cs="Arial"/>
                    </w:rPr>
                  </w:pPr>
                  <w:r w:rsidRPr="00161879">
                    <w:rPr>
                      <w:rFonts w:cs="Arial"/>
                    </w:rPr>
                    <w:t>Payable to DCLG (</w:t>
                  </w:r>
                  <w:r>
                    <w:rPr>
                      <w:rFonts w:cs="Arial"/>
                    </w:rPr>
                    <w:t>33</w:t>
                  </w:r>
                  <w:r w:rsidRPr="00161879">
                    <w:rPr>
                      <w:rFonts w:cs="Arial"/>
                    </w:rPr>
                    <w:t>% Central Share)</w:t>
                  </w:r>
                </w:p>
              </w:tc>
              <w:tc>
                <w:tcPr>
                  <w:tcW w:w="1173" w:type="dxa"/>
                </w:tcPr>
                <w:p w:rsidR="00A93C4F" w:rsidRPr="005D0068" w:rsidRDefault="00A93C4F" w:rsidP="000D01C8">
                  <w:pPr>
                    <w:ind w:right="-104"/>
                    <w:jc w:val="center"/>
                    <w:rPr>
                      <w:rFonts w:cs="Arial"/>
                      <w:color w:val="FF0000"/>
                    </w:rPr>
                  </w:pPr>
                  <w:r w:rsidRPr="005D0068">
                    <w:rPr>
                      <w:rFonts w:cs="Arial"/>
                      <w:color w:val="FF0000"/>
                    </w:rPr>
                    <w:t>(1</w:t>
                  </w:r>
                  <w:r>
                    <w:rPr>
                      <w:rFonts w:cs="Arial"/>
                      <w:color w:val="FF0000"/>
                    </w:rPr>
                    <w:t>6</w:t>
                  </w:r>
                  <w:r w:rsidRPr="005D0068">
                    <w:rPr>
                      <w:rFonts w:cs="Arial"/>
                      <w:color w:val="FF0000"/>
                    </w:rPr>
                    <w:t>.</w:t>
                  </w:r>
                  <w:r>
                    <w:rPr>
                      <w:rFonts w:cs="Arial"/>
                      <w:color w:val="FF0000"/>
                    </w:rPr>
                    <w:t>436</w:t>
                  </w:r>
                  <w:r w:rsidRPr="005D0068">
                    <w:rPr>
                      <w:rFonts w:cs="Arial"/>
                      <w:color w:val="FF0000"/>
                    </w:rPr>
                    <w:t>)</w:t>
                  </w:r>
                </w:p>
              </w:tc>
            </w:tr>
            <w:tr w:rsidR="00A93C4F" w:rsidRPr="00997EFC" w:rsidTr="000D01C8">
              <w:tc>
                <w:tcPr>
                  <w:tcW w:w="948" w:type="dxa"/>
                </w:tcPr>
                <w:p w:rsidR="00A93C4F" w:rsidRPr="00161879" w:rsidRDefault="00A93C4F" w:rsidP="000D01C8">
                  <w:pPr>
                    <w:ind w:right="-104"/>
                    <w:rPr>
                      <w:rFonts w:cs="Arial"/>
                    </w:rPr>
                  </w:pPr>
                  <w:r w:rsidRPr="00161879">
                    <w:rPr>
                      <w:rFonts w:cs="Arial"/>
                    </w:rPr>
                    <w:t xml:space="preserve">Less </w:t>
                  </w:r>
                </w:p>
              </w:tc>
              <w:tc>
                <w:tcPr>
                  <w:tcW w:w="5640" w:type="dxa"/>
                </w:tcPr>
                <w:p w:rsidR="00A93C4F" w:rsidRPr="00161879" w:rsidRDefault="00A93C4F" w:rsidP="000D01C8">
                  <w:pPr>
                    <w:ind w:right="-104"/>
                    <w:rPr>
                      <w:rFonts w:cs="Arial"/>
                    </w:rPr>
                  </w:pPr>
                  <w:r w:rsidRPr="00161879">
                    <w:rPr>
                      <w:rFonts w:cs="Arial"/>
                    </w:rPr>
                    <w:t>Payable to the Greater London Authority (</w:t>
                  </w:r>
                  <w:r>
                    <w:rPr>
                      <w:rFonts w:cs="Arial"/>
                    </w:rPr>
                    <w:t>37</w:t>
                  </w:r>
                  <w:r w:rsidRPr="00161879">
                    <w:rPr>
                      <w:rFonts w:cs="Arial"/>
                    </w:rPr>
                    <w:t>%)</w:t>
                  </w:r>
                </w:p>
              </w:tc>
              <w:tc>
                <w:tcPr>
                  <w:tcW w:w="1173" w:type="dxa"/>
                </w:tcPr>
                <w:p w:rsidR="00A93C4F" w:rsidRPr="005D0068" w:rsidRDefault="00A93C4F" w:rsidP="000D01C8">
                  <w:pPr>
                    <w:ind w:right="-104"/>
                    <w:jc w:val="center"/>
                    <w:rPr>
                      <w:rFonts w:cs="Arial"/>
                      <w:color w:val="FF0000"/>
                      <w:u w:val="single"/>
                    </w:rPr>
                  </w:pPr>
                  <w:r w:rsidRPr="005D0068">
                    <w:rPr>
                      <w:rFonts w:cs="Arial"/>
                      <w:color w:val="FF0000"/>
                      <w:u w:val="single"/>
                    </w:rPr>
                    <w:t>(1</w:t>
                  </w:r>
                  <w:r>
                    <w:rPr>
                      <w:rFonts w:cs="Arial"/>
                      <w:color w:val="FF0000"/>
                      <w:u w:val="single"/>
                    </w:rPr>
                    <w:t>8</w:t>
                  </w:r>
                  <w:r w:rsidRPr="005D0068">
                    <w:rPr>
                      <w:rFonts w:cs="Arial"/>
                      <w:color w:val="FF0000"/>
                      <w:u w:val="single"/>
                    </w:rPr>
                    <w:t>.</w:t>
                  </w:r>
                  <w:r>
                    <w:rPr>
                      <w:rFonts w:cs="Arial"/>
                      <w:color w:val="FF0000"/>
                      <w:u w:val="single"/>
                    </w:rPr>
                    <w:t>428</w:t>
                  </w:r>
                  <w:r w:rsidRPr="005D0068">
                    <w:rPr>
                      <w:rFonts w:cs="Arial"/>
                      <w:color w:val="FF0000"/>
                      <w:u w:val="single"/>
                    </w:rPr>
                    <w:t>)</w:t>
                  </w:r>
                </w:p>
              </w:tc>
            </w:tr>
            <w:tr w:rsidR="00A93C4F" w:rsidRPr="00997EFC" w:rsidTr="000D01C8">
              <w:tc>
                <w:tcPr>
                  <w:tcW w:w="948" w:type="dxa"/>
                </w:tcPr>
                <w:p w:rsidR="00A93C4F" w:rsidRPr="00161879" w:rsidRDefault="00A93C4F" w:rsidP="000D01C8">
                  <w:pPr>
                    <w:ind w:right="-104"/>
                    <w:rPr>
                      <w:rFonts w:cs="Arial"/>
                    </w:rPr>
                  </w:pPr>
                  <w:r w:rsidRPr="00161879">
                    <w:rPr>
                      <w:rFonts w:cs="Arial"/>
                    </w:rPr>
                    <w:t>Equals</w:t>
                  </w:r>
                </w:p>
              </w:tc>
              <w:tc>
                <w:tcPr>
                  <w:tcW w:w="5640" w:type="dxa"/>
                </w:tcPr>
                <w:p w:rsidR="00A93C4F" w:rsidRPr="00161879" w:rsidRDefault="00A93C4F" w:rsidP="000D01C8">
                  <w:pPr>
                    <w:ind w:right="-104"/>
                    <w:rPr>
                      <w:rFonts w:cs="Arial"/>
                    </w:rPr>
                  </w:pPr>
                  <w:r w:rsidRPr="00161879">
                    <w:rPr>
                      <w:rFonts w:cs="Arial"/>
                    </w:rPr>
                    <w:t>Amount to be retained by Harrow (</w:t>
                  </w:r>
                  <w:r>
                    <w:rPr>
                      <w:rFonts w:cs="Arial"/>
                    </w:rPr>
                    <w:t>30</w:t>
                  </w:r>
                  <w:r w:rsidRPr="00161879">
                    <w:rPr>
                      <w:rFonts w:cs="Arial"/>
                      <w:b/>
                    </w:rPr>
                    <w:t>%</w:t>
                  </w:r>
                  <w:r w:rsidRPr="00161879">
                    <w:rPr>
                      <w:rFonts w:cs="Arial"/>
                    </w:rPr>
                    <w:t>)</w:t>
                  </w:r>
                </w:p>
              </w:tc>
              <w:tc>
                <w:tcPr>
                  <w:tcW w:w="1173" w:type="dxa"/>
                </w:tcPr>
                <w:p w:rsidR="00A93C4F" w:rsidRPr="005D0068" w:rsidRDefault="00A93C4F" w:rsidP="000D01C8">
                  <w:pPr>
                    <w:ind w:right="-104"/>
                    <w:jc w:val="center"/>
                    <w:rPr>
                      <w:rFonts w:cs="Arial"/>
                      <w:b/>
                      <w:i/>
                      <w:color w:val="FF0000"/>
                    </w:rPr>
                  </w:pPr>
                  <w:r>
                    <w:rPr>
                      <w:rFonts w:cs="Arial"/>
                      <w:b/>
                      <w:i/>
                      <w:color w:val="FF0000"/>
                    </w:rPr>
                    <w:t>14</w:t>
                  </w:r>
                  <w:r w:rsidRPr="005D0068">
                    <w:rPr>
                      <w:rFonts w:cs="Arial"/>
                      <w:b/>
                      <w:i/>
                      <w:color w:val="FF0000"/>
                    </w:rPr>
                    <w:t>.</w:t>
                  </w:r>
                  <w:r>
                    <w:rPr>
                      <w:rFonts w:cs="Arial"/>
                      <w:b/>
                      <w:i/>
                      <w:color w:val="FF0000"/>
                    </w:rPr>
                    <w:t>942</w:t>
                  </w:r>
                </w:p>
              </w:tc>
            </w:tr>
            <w:tr w:rsidR="00A93C4F" w:rsidRPr="00997EFC" w:rsidTr="000D01C8">
              <w:tc>
                <w:tcPr>
                  <w:tcW w:w="948" w:type="dxa"/>
                </w:tcPr>
                <w:p w:rsidR="00A93C4F" w:rsidRPr="00161879" w:rsidRDefault="00A93C4F" w:rsidP="000D01C8">
                  <w:pPr>
                    <w:ind w:right="-104"/>
                    <w:rPr>
                      <w:rFonts w:cs="Arial"/>
                    </w:rPr>
                  </w:pPr>
                </w:p>
              </w:tc>
              <w:tc>
                <w:tcPr>
                  <w:tcW w:w="5640" w:type="dxa"/>
                </w:tcPr>
                <w:p w:rsidR="00A93C4F" w:rsidRPr="00161879" w:rsidRDefault="00A93C4F" w:rsidP="000D01C8">
                  <w:pPr>
                    <w:ind w:right="-104"/>
                    <w:rPr>
                      <w:rFonts w:cs="Arial"/>
                    </w:rPr>
                  </w:pPr>
                </w:p>
              </w:tc>
              <w:tc>
                <w:tcPr>
                  <w:tcW w:w="1173" w:type="dxa"/>
                </w:tcPr>
                <w:p w:rsidR="00A93C4F" w:rsidRPr="005D0068" w:rsidRDefault="00A93C4F" w:rsidP="000D01C8">
                  <w:pPr>
                    <w:ind w:right="-104"/>
                    <w:jc w:val="center"/>
                    <w:rPr>
                      <w:rFonts w:cs="Arial"/>
                      <w:color w:val="FF0000"/>
                    </w:rPr>
                  </w:pPr>
                </w:p>
              </w:tc>
            </w:tr>
          </w:tbl>
          <w:p w:rsidR="00A93C4F" w:rsidRDefault="00A93C4F" w:rsidP="00A93C4F">
            <w:pPr>
              <w:ind w:left="720" w:hanging="720"/>
              <w:rPr>
                <w:rFonts w:cs="Arial"/>
              </w:rPr>
            </w:pPr>
          </w:p>
          <w:p w:rsidR="00A93C4F" w:rsidRPr="00997EFC" w:rsidRDefault="00A93C4F" w:rsidP="00A93C4F">
            <w:pPr>
              <w:ind w:left="720" w:hanging="720"/>
              <w:rPr>
                <w:rFonts w:cs="Arial"/>
              </w:rPr>
            </w:pPr>
          </w:p>
          <w:p w:rsidR="00A93C4F" w:rsidRPr="005B5F35" w:rsidRDefault="00A93C4F" w:rsidP="00A93C4F">
            <w:pPr>
              <w:numPr>
                <w:ilvl w:val="0"/>
                <w:numId w:val="9"/>
              </w:numPr>
              <w:jc w:val="both"/>
              <w:rPr>
                <w:rFonts w:cs="Arial"/>
              </w:rPr>
            </w:pPr>
            <w:r>
              <w:rPr>
                <w:rFonts w:cs="Arial"/>
              </w:rPr>
              <w:t>Agree t</w:t>
            </w:r>
            <w:r w:rsidRPr="005B5F35">
              <w:rPr>
                <w:rFonts w:cs="Arial"/>
              </w:rPr>
              <w:t xml:space="preserve">hat authority be delegated to the </w:t>
            </w:r>
            <w:r w:rsidRPr="00AF4E19">
              <w:rPr>
                <w:rFonts w:cs="Arial"/>
              </w:rPr>
              <w:t xml:space="preserve">Council's Chief Finance Officer (section 151 </w:t>
            </w:r>
            <w:proofErr w:type="gramStart"/>
            <w:r w:rsidRPr="00AF4E19">
              <w:rPr>
                <w:rFonts w:cs="Arial"/>
              </w:rPr>
              <w:t>officer</w:t>
            </w:r>
            <w:proofErr w:type="gramEnd"/>
            <w:r w:rsidRPr="00AF4E19">
              <w:rPr>
                <w:rFonts w:cs="Arial"/>
              </w:rPr>
              <w:t xml:space="preserve">) </w:t>
            </w:r>
            <w:r w:rsidRPr="005B5F35">
              <w:rPr>
                <w:rFonts w:cs="Arial"/>
              </w:rPr>
              <w:t xml:space="preserve">to submit the notification of the calculation of the estimated Non-Domestic Rates income to the Secretary </w:t>
            </w:r>
            <w:r>
              <w:rPr>
                <w:rFonts w:cs="Arial"/>
              </w:rPr>
              <w:t>of State and the Greater London Authority (GLA) by 31 January 2020 or other date as may be prescribed.</w:t>
            </w:r>
          </w:p>
          <w:p w:rsidR="00A93C4F" w:rsidRPr="00997EFC" w:rsidRDefault="00A93C4F" w:rsidP="00A93C4F">
            <w:pPr>
              <w:ind w:left="360"/>
              <w:rPr>
                <w:rFonts w:cs="Arial"/>
              </w:rPr>
            </w:pPr>
          </w:p>
          <w:p w:rsidR="00A93C4F" w:rsidRDefault="00A93C4F" w:rsidP="00A93C4F">
            <w:pPr>
              <w:numPr>
                <w:ilvl w:val="0"/>
                <w:numId w:val="9"/>
              </w:numPr>
              <w:jc w:val="both"/>
              <w:rPr>
                <w:rFonts w:cs="Arial"/>
                <w:szCs w:val="24"/>
              </w:rPr>
            </w:pPr>
            <w:r>
              <w:rPr>
                <w:rFonts w:cs="Arial"/>
                <w:szCs w:val="24"/>
              </w:rPr>
              <w:t>Agrees that t</w:t>
            </w:r>
            <w:r w:rsidRPr="005B5F35">
              <w:rPr>
                <w:rFonts w:cs="Arial"/>
                <w:szCs w:val="24"/>
              </w:rPr>
              <w:t>he Council's Chief Finance Officer (section 151 officer) be authorised, following  consultation with the Portfolio Holder, to submit revised figures (from those above) to the Secretary of State and GLA, if further clarification is received from DCLG on the financial impact of the proposed changes to the authority and how this is to be calculated</w:t>
            </w:r>
            <w:r>
              <w:rPr>
                <w:rFonts w:cs="Arial"/>
                <w:szCs w:val="24"/>
              </w:rPr>
              <w:t>.</w:t>
            </w:r>
          </w:p>
          <w:p w:rsidR="00A93C4F" w:rsidRPr="0038706C" w:rsidRDefault="00A93C4F" w:rsidP="00A93C4F">
            <w:pPr>
              <w:pStyle w:val="ListParagraph"/>
              <w:rPr>
                <w:szCs w:val="24"/>
              </w:rPr>
            </w:pPr>
          </w:p>
          <w:p w:rsidR="00A93C4F" w:rsidRPr="00997EFC" w:rsidRDefault="00A93C4F" w:rsidP="00A93C4F">
            <w:pPr>
              <w:outlineLvl w:val="1"/>
              <w:rPr>
                <w:rFonts w:cs="Arial"/>
                <w:b/>
                <w:bCs/>
                <w:sz w:val="28"/>
                <w:szCs w:val="32"/>
              </w:rPr>
            </w:pPr>
            <w:r w:rsidRPr="00997EFC">
              <w:rPr>
                <w:rFonts w:cs="Arial"/>
                <w:b/>
                <w:bCs/>
                <w:sz w:val="28"/>
                <w:szCs w:val="32"/>
              </w:rPr>
              <w:t xml:space="preserve">Reason:  </w:t>
            </w:r>
          </w:p>
          <w:p w:rsidR="00333FAA" w:rsidRDefault="00A93C4F" w:rsidP="00A93C4F">
            <w:pPr>
              <w:rPr>
                <w:rFonts w:cs="Arial"/>
              </w:rPr>
            </w:pPr>
            <w:r w:rsidRPr="00997EFC">
              <w:t>To fulfil the Council’s statutory obligation to provide estimates and calculations in relation to NDR for 20</w:t>
            </w:r>
            <w:r>
              <w:t>20</w:t>
            </w:r>
            <w:r w:rsidRPr="00997EFC">
              <w:t>-20</w:t>
            </w:r>
            <w:r>
              <w:t>21</w:t>
            </w:r>
            <w:r w:rsidRPr="00997EFC">
              <w:t>.</w:t>
            </w:r>
          </w:p>
        </w:tc>
      </w:tr>
    </w:tbl>
    <w:p w:rsidR="00333FAA" w:rsidRDefault="00333FAA" w:rsidP="00333FAA">
      <w:pPr>
        <w:pStyle w:val="Heading1"/>
        <w:rPr>
          <w:rFonts w:ascii="Arial" w:hAnsi="Arial"/>
          <w:sz w:val="24"/>
          <w:szCs w:val="24"/>
        </w:rPr>
      </w:pPr>
    </w:p>
    <w:p w:rsidR="0036201C" w:rsidRPr="0036201C" w:rsidRDefault="0036201C" w:rsidP="0036201C"/>
    <w:p w:rsidR="00A93C4F" w:rsidRDefault="00A93C4F" w:rsidP="00A93C4F">
      <w:pPr>
        <w:pStyle w:val="Heading1"/>
        <w:rPr>
          <w:color w:val="000000"/>
        </w:rPr>
      </w:pPr>
    </w:p>
    <w:p w:rsidR="00A93C4F" w:rsidRDefault="00A93C4F" w:rsidP="00A93C4F">
      <w:pPr>
        <w:pStyle w:val="Heading1"/>
        <w:rPr>
          <w:color w:val="000000"/>
        </w:rPr>
      </w:pPr>
    </w:p>
    <w:p w:rsidR="00A93C4F" w:rsidRDefault="00A93C4F" w:rsidP="00A93C4F">
      <w:pPr>
        <w:pStyle w:val="Heading1"/>
        <w:rPr>
          <w:color w:val="000000"/>
        </w:rPr>
      </w:pPr>
      <w:r w:rsidRPr="0016289B">
        <w:rPr>
          <w:color w:val="000000"/>
        </w:rPr>
        <w:lastRenderedPageBreak/>
        <w:t>Section 2 – Report</w:t>
      </w:r>
    </w:p>
    <w:p w:rsidR="00A93C4F" w:rsidRPr="00015C49" w:rsidRDefault="00A93C4F" w:rsidP="00A93C4F"/>
    <w:p w:rsidR="00A93C4F" w:rsidRDefault="00A93C4F" w:rsidP="00A93C4F">
      <w:pPr>
        <w:ind w:left="360"/>
        <w:jc w:val="both"/>
        <w:rPr>
          <w:rFonts w:cs="Arial"/>
          <w:b/>
          <w:sz w:val="28"/>
          <w:szCs w:val="28"/>
        </w:rPr>
      </w:pPr>
      <w:r w:rsidRPr="00997EFC">
        <w:rPr>
          <w:rFonts w:cs="Arial"/>
          <w:b/>
          <w:sz w:val="28"/>
          <w:szCs w:val="28"/>
        </w:rPr>
        <w:tab/>
      </w:r>
      <w:r w:rsidRPr="00015C49">
        <w:rPr>
          <w:rFonts w:cs="Arial"/>
          <w:b/>
          <w:sz w:val="28"/>
          <w:szCs w:val="28"/>
        </w:rPr>
        <w:t xml:space="preserve">Introduction </w:t>
      </w:r>
    </w:p>
    <w:p w:rsidR="00A93C4F" w:rsidRDefault="00A93C4F" w:rsidP="00A93C4F">
      <w:pPr>
        <w:jc w:val="both"/>
      </w:pPr>
      <w:r w:rsidRPr="00997EFC">
        <w:t>2.</w:t>
      </w:r>
      <w:r>
        <w:t>1</w:t>
      </w:r>
      <w:r>
        <w:tab/>
      </w:r>
      <w:r w:rsidRPr="00997EFC">
        <w:t xml:space="preserve">The Local Government Finance Act 2012 introduced the Business Rate </w:t>
      </w:r>
      <w:r w:rsidRPr="00997EFC">
        <w:tab/>
        <w:t xml:space="preserve">Retention (BRR) scheme from 01 April 2013. </w:t>
      </w:r>
    </w:p>
    <w:p w:rsidR="00A93C4F" w:rsidRDefault="00A93C4F" w:rsidP="00A93C4F">
      <w:pPr>
        <w:jc w:val="both"/>
      </w:pPr>
    </w:p>
    <w:p w:rsidR="00A93C4F" w:rsidRDefault="00A93C4F" w:rsidP="00A93C4F">
      <w:pPr>
        <w:ind w:left="561" w:hanging="561"/>
        <w:jc w:val="both"/>
        <w:rPr>
          <w:rFonts w:cs="Arial"/>
          <w:color w:val="000000"/>
          <w:szCs w:val="24"/>
          <w:lang w:val="en" w:eastAsia="en-GB"/>
        </w:rPr>
      </w:pPr>
      <w:r>
        <w:rPr>
          <w:rFonts w:cs="Arial"/>
          <w:color w:val="000000"/>
          <w:szCs w:val="24"/>
          <w:lang w:val="en" w:eastAsia="en-GB"/>
        </w:rPr>
        <w:t>2.2</w:t>
      </w:r>
      <w:r>
        <w:rPr>
          <w:rFonts w:cs="Arial"/>
          <w:color w:val="000000"/>
          <w:szCs w:val="24"/>
          <w:lang w:val="en" w:eastAsia="en-GB"/>
        </w:rPr>
        <w:tab/>
      </w:r>
      <w:r w:rsidRPr="000D0D52">
        <w:rPr>
          <w:rFonts w:cs="Arial"/>
          <w:color w:val="000000"/>
          <w:szCs w:val="24"/>
          <w:lang w:val="en" w:eastAsia="en-GB"/>
        </w:rPr>
        <w:t xml:space="preserve">Following the 2017 Autumn Budget, a 100% Business Rates retention pilot was introduced for 2018/19. </w:t>
      </w:r>
      <w:r>
        <w:t>From 1</w:t>
      </w:r>
      <w:r w:rsidRPr="000322F6">
        <w:t xml:space="preserve"> April 2018 </w:t>
      </w:r>
      <w:r>
        <w:t xml:space="preserve">London authorities </w:t>
      </w:r>
      <w:r w:rsidRPr="000322F6">
        <w:t>retain</w:t>
      </w:r>
      <w:r>
        <w:t>ed</w:t>
      </w:r>
      <w:r w:rsidRPr="000322F6">
        <w:t xml:space="preserve"> </w:t>
      </w:r>
      <w:r>
        <w:t>100</w:t>
      </w:r>
      <w:r w:rsidRPr="000322F6">
        <w:t>% of their non-domestic rating income</w:t>
      </w:r>
      <w:r w:rsidRPr="000D0D52">
        <w:rPr>
          <w:rFonts w:cs="Arial"/>
          <w:color w:val="000000"/>
          <w:szCs w:val="24"/>
          <w:lang w:val="en" w:eastAsia="en-GB"/>
        </w:rPr>
        <w:t xml:space="preserve">. Harrow retained 64% and, the GLA 36%. </w:t>
      </w:r>
    </w:p>
    <w:p w:rsidR="00A93C4F" w:rsidRDefault="00A93C4F" w:rsidP="00A93C4F">
      <w:pPr>
        <w:ind w:left="561" w:hanging="561"/>
        <w:jc w:val="both"/>
        <w:rPr>
          <w:rFonts w:cs="Arial"/>
          <w:color w:val="000000"/>
          <w:szCs w:val="24"/>
          <w:lang w:val="en" w:eastAsia="en-GB"/>
        </w:rPr>
      </w:pPr>
    </w:p>
    <w:p w:rsidR="00A93C4F" w:rsidRDefault="00A93C4F" w:rsidP="00A93C4F">
      <w:pPr>
        <w:ind w:left="561" w:hanging="561"/>
        <w:jc w:val="both"/>
        <w:rPr>
          <w:rFonts w:cs="Arial"/>
          <w:color w:val="000000"/>
          <w:szCs w:val="24"/>
          <w:lang w:val="en" w:eastAsia="en-GB"/>
        </w:rPr>
      </w:pPr>
      <w:r>
        <w:rPr>
          <w:rFonts w:cs="Arial"/>
          <w:color w:val="000000"/>
          <w:szCs w:val="24"/>
          <w:lang w:val="en" w:eastAsia="en-GB"/>
        </w:rPr>
        <w:t>2.3</w:t>
      </w:r>
      <w:r>
        <w:rPr>
          <w:rFonts w:cs="Arial"/>
          <w:color w:val="000000"/>
          <w:szCs w:val="24"/>
          <w:lang w:val="en" w:eastAsia="en-GB"/>
        </w:rPr>
        <w:tab/>
        <w:t>For the financial year 2019/20 the 100% pilot was changed to a 75% retention scheme which reduced the local authority share to 48%. For the financial year 2020/21 Government has stopped the London Pool pilot altogether and the local authority’s share will revert back to 30%.</w:t>
      </w:r>
    </w:p>
    <w:p w:rsidR="00A93C4F" w:rsidRDefault="00A93C4F" w:rsidP="00A93C4F">
      <w:pPr>
        <w:ind w:left="561" w:hanging="561"/>
        <w:jc w:val="both"/>
        <w:rPr>
          <w:rFonts w:cs="Arial"/>
          <w:color w:val="000000"/>
          <w:szCs w:val="24"/>
          <w:lang w:val="en" w:eastAsia="en-GB"/>
        </w:rPr>
      </w:pPr>
    </w:p>
    <w:p w:rsidR="00A93C4F" w:rsidRDefault="00A93C4F" w:rsidP="00A93C4F">
      <w:pPr>
        <w:ind w:left="561" w:hanging="561"/>
        <w:jc w:val="both"/>
      </w:pPr>
      <w:r>
        <w:rPr>
          <w:rFonts w:cs="Arial"/>
          <w:szCs w:val="24"/>
          <w:lang w:eastAsia="en-GB"/>
        </w:rPr>
        <w:t>2.4</w:t>
      </w:r>
      <w:r>
        <w:rPr>
          <w:rFonts w:cs="Arial"/>
          <w:szCs w:val="24"/>
          <w:lang w:eastAsia="en-GB"/>
        </w:rPr>
        <w:tab/>
      </w:r>
      <w:r w:rsidRPr="00161879">
        <w:rPr>
          <w:rFonts w:cs="Arial"/>
          <w:szCs w:val="24"/>
          <w:lang w:eastAsia="en-GB"/>
        </w:rPr>
        <w:t>The scheme provide</w:t>
      </w:r>
      <w:r>
        <w:rPr>
          <w:rFonts w:cs="Arial"/>
          <w:szCs w:val="24"/>
          <w:lang w:eastAsia="en-GB"/>
        </w:rPr>
        <w:t>d</w:t>
      </w:r>
      <w:r w:rsidRPr="00161879">
        <w:rPr>
          <w:rFonts w:cs="Arial"/>
          <w:szCs w:val="24"/>
          <w:lang w:eastAsia="en-GB"/>
        </w:rPr>
        <w:t xml:space="preserve"> for non-domestic rates collected by a billing authority to be shared between it, its major </w:t>
      </w:r>
      <w:proofErr w:type="spellStart"/>
      <w:r w:rsidRPr="00161879">
        <w:rPr>
          <w:rFonts w:cs="Arial"/>
          <w:szCs w:val="24"/>
          <w:lang w:eastAsia="en-GB"/>
        </w:rPr>
        <w:t>precepting</w:t>
      </w:r>
      <w:proofErr w:type="spellEnd"/>
      <w:r w:rsidRPr="00161879">
        <w:rPr>
          <w:rFonts w:cs="Arial"/>
          <w:szCs w:val="24"/>
          <w:lang w:eastAsia="en-GB"/>
        </w:rPr>
        <w:t xml:space="preserve"> authorities and central government. It also provide</w:t>
      </w:r>
      <w:r>
        <w:rPr>
          <w:rFonts w:cs="Arial"/>
          <w:szCs w:val="24"/>
          <w:lang w:eastAsia="en-GB"/>
        </w:rPr>
        <w:t>d</w:t>
      </w:r>
      <w:r w:rsidRPr="00161879">
        <w:rPr>
          <w:rFonts w:cs="Arial"/>
          <w:szCs w:val="24"/>
          <w:lang w:eastAsia="en-GB"/>
        </w:rPr>
        <w:t xml:space="preserve"> that certain</w:t>
      </w:r>
      <w:r w:rsidRPr="00997EFC">
        <w:rPr>
          <w:rFonts w:cs="Arial"/>
          <w:szCs w:val="24"/>
          <w:lang w:eastAsia="en-GB"/>
        </w:rPr>
        <w:t xml:space="preserve"> sums </w:t>
      </w:r>
      <w:r>
        <w:rPr>
          <w:rFonts w:cs="Arial"/>
          <w:szCs w:val="24"/>
          <w:lang w:eastAsia="en-GB"/>
        </w:rPr>
        <w:t>were</w:t>
      </w:r>
      <w:r w:rsidRPr="00997EFC">
        <w:rPr>
          <w:rFonts w:cs="Arial"/>
          <w:szCs w:val="24"/>
          <w:lang w:eastAsia="en-GB"/>
        </w:rPr>
        <w:t xml:space="preserve"> to be treated as being outside the scheme.  These sums </w:t>
      </w:r>
      <w:r>
        <w:rPr>
          <w:rFonts w:cs="Arial"/>
          <w:szCs w:val="24"/>
          <w:lang w:eastAsia="en-GB"/>
        </w:rPr>
        <w:t>were</w:t>
      </w:r>
      <w:r w:rsidRPr="00997EFC">
        <w:rPr>
          <w:rFonts w:cs="Arial"/>
          <w:szCs w:val="24"/>
          <w:lang w:eastAsia="en-GB"/>
        </w:rPr>
        <w:t xml:space="preserve"> retained in their entirety by the billing authority (or by the billing authority and some, or all, of its major preceptors).</w:t>
      </w:r>
    </w:p>
    <w:p w:rsidR="00A93C4F" w:rsidRDefault="00A93C4F" w:rsidP="00A93C4F">
      <w:pPr>
        <w:ind w:left="561"/>
        <w:jc w:val="both"/>
        <w:rPr>
          <w:rFonts w:cs="Arial"/>
          <w:color w:val="000000"/>
          <w:szCs w:val="24"/>
          <w:lang w:val="en" w:eastAsia="en-GB"/>
        </w:rPr>
      </w:pPr>
    </w:p>
    <w:p w:rsidR="00A93C4F" w:rsidRDefault="00A93C4F" w:rsidP="00A93C4F">
      <w:pPr>
        <w:ind w:left="561" w:hanging="561"/>
        <w:jc w:val="both"/>
        <w:rPr>
          <w:rFonts w:cs="Arial"/>
        </w:rPr>
      </w:pPr>
      <w:r>
        <w:rPr>
          <w:rFonts w:cs="Arial"/>
          <w:color w:val="000000"/>
          <w:szCs w:val="24"/>
          <w:lang w:val="en" w:eastAsia="en-GB"/>
        </w:rPr>
        <w:t>2.5</w:t>
      </w:r>
      <w:r>
        <w:rPr>
          <w:rFonts w:cs="Arial"/>
          <w:color w:val="000000"/>
          <w:szCs w:val="24"/>
          <w:lang w:val="en" w:eastAsia="en-GB"/>
        </w:rPr>
        <w:tab/>
        <w:t xml:space="preserve">The </w:t>
      </w:r>
      <w:r w:rsidRPr="00C94745">
        <w:rPr>
          <w:rFonts w:cs="Arial"/>
        </w:rPr>
        <w:t xml:space="preserve">Leaders’ Committee </w:t>
      </w:r>
      <w:proofErr w:type="gramStart"/>
      <w:r>
        <w:rPr>
          <w:rFonts w:cs="Arial"/>
        </w:rPr>
        <w:t>have</w:t>
      </w:r>
      <w:proofErr w:type="gramEnd"/>
      <w:r>
        <w:rPr>
          <w:rFonts w:cs="Arial"/>
        </w:rPr>
        <w:t xml:space="preserve"> however agr</w:t>
      </w:r>
      <w:r w:rsidRPr="00C94745">
        <w:rPr>
          <w:rFonts w:cs="Arial"/>
        </w:rPr>
        <w:t>eed to continue to pool business rates across all 34 London authorities in 2020</w:t>
      </w:r>
      <w:r>
        <w:rPr>
          <w:rFonts w:cs="Arial"/>
        </w:rPr>
        <w:t>/</w:t>
      </w:r>
      <w:r w:rsidRPr="00C94745">
        <w:rPr>
          <w:rFonts w:cs="Arial"/>
        </w:rPr>
        <w:t>21</w:t>
      </w:r>
      <w:r>
        <w:rPr>
          <w:rFonts w:cs="Arial"/>
        </w:rPr>
        <w:t>. This will have strategic advantages for London but Harrow will not gain the same amount of extra income from growth that it will receive in 2019/20; any additional pool income will be on a much smaller scale.</w:t>
      </w:r>
    </w:p>
    <w:p w:rsidR="00A93C4F" w:rsidRPr="000D0D52" w:rsidRDefault="00A93C4F" w:rsidP="00A93C4F">
      <w:pPr>
        <w:ind w:left="561" w:hanging="561"/>
        <w:jc w:val="both"/>
        <w:rPr>
          <w:rFonts w:cs="Arial"/>
          <w:color w:val="000000"/>
          <w:szCs w:val="24"/>
          <w:lang w:val="en" w:eastAsia="en-GB"/>
        </w:rPr>
      </w:pPr>
      <w:r>
        <w:rPr>
          <w:rFonts w:cs="Arial"/>
        </w:rPr>
        <w:t xml:space="preserve"> </w:t>
      </w:r>
      <w:r>
        <w:rPr>
          <w:rFonts w:cs="Arial"/>
          <w:szCs w:val="24"/>
          <w:lang w:eastAsia="en-GB"/>
        </w:rPr>
        <w:tab/>
      </w:r>
    </w:p>
    <w:p w:rsidR="00A93C4F" w:rsidRPr="00997EFC" w:rsidRDefault="00A93C4F" w:rsidP="00A93C4F">
      <w:pPr>
        <w:ind w:left="567" w:hanging="567"/>
        <w:jc w:val="both"/>
        <w:rPr>
          <w:rFonts w:cs="Arial"/>
        </w:rPr>
      </w:pPr>
      <w:r w:rsidRPr="00997EFC">
        <w:t>2.</w:t>
      </w:r>
      <w:r>
        <w:t>6</w:t>
      </w:r>
      <w:r w:rsidRPr="00997EFC">
        <w:tab/>
        <w:t>The</w:t>
      </w:r>
      <w:r w:rsidRPr="00997EFC">
        <w:rPr>
          <w:rFonts w:cs="Arial"/>
        </w:rPr>
        <w:t xml:space="preserve"> statutory framework requires a billing authority, before the beginning of a financial year, to forecast the amount of business rates that it will collect during the course of the year and, from this, to make a number of allowable deductions in order to arrive at a figure for its non-domestic rating income. The calculation that Harrow makes</w:t>
      </w:r>
      <w:r>
        <w:rPr>
          <w:rFonts w:cs="Arial"/>
        </w:rPr>
        <w:t xml:space="preserve"> </w:t>
      </w:r>
      <w:r w:rsidRPr="00997EFC">
        <w:rPr>
          <w:rFonts w:cs="Arial"/>
        </w:rPr>
        <w:t xml:space="preserve">before the start of the financial year determines how much Harrow must pay to central government and its major </w:t>
      </w:r>
      <w:proofErr w:type="spellStart"/>
      <w:r w:rsidRPr="00997EFC">
        <w:rPr>
          <w:rFonts w:cs="Arial"/>
        </w:rPr>
        <w:t>precepting</w:t>
      </w:r>
      <w:proofErr w:type="spellEnd"/>
      <w:r w:rsidRPr="00997EFC">
        <w:rPr>
          <w:rFonts w:cs="Arial"/>
        </w:rPr>
        <w:t xml:space="preserve"> authorities during the course of the year.  </w:t>
      </w:r>
    </w:p>
    <w:p w:rsidR="00A93C4F" w:rsidRDefault="00A93C4F" w:rsidP="00A93C4F">
      <w:pPr>
        <w:ind w:left="567" w:hanging="567"/>
        <w:jc w:val="both"/>
        <w:rPr>
          <w:rFonts w:cs="Arial"/>
        </w:rPr>
      </w:pPr>
    </w:p>
    <w:p w:rsidR="00A93C4F" w:rsidRPr="00997EFC" w:rsidRDefault="00A93C4F" w:rsidP="00A93C4F">
      <w:pPr>
        <w:ind w:left="567" w:hanging="567"/>
        <w:jc w:val="both"/>
        <w:outlineLvl w:val="1"/>
        <w:rPr>
          <w:rFonts w:cs="Arial"/>
          <w:highlight w:val="yellow"/>
        </w:rPr>
      </w:pPr>
      <w:r w:rsidRPr="00997EFC">
        <w:rPr>
          <w:rFonts w:cs="Arial"/>
          <w:b/>
          <w:bCs/>
          <w:sz w:val="28"/>
          <w:szCs w:val="28"/>
        </w:rPr>
        <w:tab/>
        <w:t xml:space="preserve">Background </w:t>
      </w:r>
    </w:p>
    <w:p w:rsidR="00A93C4F" w:rsidRPr="00997EFC" w:rsidRDefault="00A93C4F" w:rsidP="00A93C4F">
      <w:pPr>
        <w:ind w:left="561" w:hanging="561"/>
        <w:jc w:val="both"/>
        <w:rPr>
          <w:rFonts w:cs="Arial"/>
          <w:color w:val="000000"/>
          <w:szCs w:val="24"/>
          <w:lang w:val="en" w:eastAsia="en-GB"/>
        </w:rPr>
      </w:pPr>
      <w:r>
        <w:rPr>
          <w:rFonts w:cs="Arial"/>
          <w:color w:val="000000"/>
          <w:szCs w:val="24"/>
          <w:lang w:val="en" w:eastAsia="en-GB"/>
        </w:rPr>
        <w:t>2.7</w:t>
      </w:r>
      <w:r w:rsidRPr="00997EFC">
        <w:rPr>
          <w:rFonts w:cs="Arial"/>
          <w:color w:val="000000"/>
          <w:szCs w:val="24"/>
          <w:lang w:val="en" w:eastAsia="en-GB"/>
        </w:rPr>
        <w:tab/>
        <w:t xml:space="preserve">Under the </w:t>
      </w:r>
      <w:r w:rsidRPr="00997EFC">
        <w:rPr>
          <w:rFonts w:cs="Arial"/>
        </w:rPr>
        <w:t xml:space="preserve">Local Government Finance Act 1988, as amended by the </w:t>
      </w:r>
      <w:r w:rsidRPr="00997EFC">
        <w:rPr>
          <w:rFonts w:cs="Arial"/>
          <w:color w:val="000000"/>
          <w:szCs w:val="24"/>
          <w:lang w:val="en" w:eastAsia="en-GB"/>
        </w:rPr>
        <w:t>L</w:t>
      </w:r>
      <w:r>
        <w:rPr>
          <w:rFonts w:cs="Arial"/>
          <w:color w:val="000000"/>
          <w:szCs w:val="24"/>
          <w:lang w:val="en" w:eastAsia="en-GB"/>
        </w:rPr>
        <w:t xml:space="preserve">ocal </w:t>
      </w:r>
      <w:r w:rsidRPr="00997EFC">
        <w:rPr>
          <w:rFonts w:cs="Arial"/>
          <w:color w:val="000000"/>
          <w:szCs w:val="24"/>
          <w:lang w:val="en" w:eastAsia="en-GB"/>
        </w:rPr>
        <w:t>G</w:t>
      </w:r>
      <w:r>
        <w:rPr>
          <w:rFonts w:cs="Arial"/>
          <w:color w:val="000000"/>
          <w:szCs w:val="24"/>
          <w:lang w:val="en" w:eastAsia="en-GB"/>
        </w:rPr>
        <w:t xml:space="preserve">overnment </w:t>
      </w:r>
      <w:r w:rsidRPr="00997EFC">
        <w:rPr>
          <w:rFonts w:cs="Arial"/>
          <w:color w:val="000000"/>
          <w:szCs w:val="24"/>
          <w:lang w:val="en" w:eastAsia="en-GB"/>
        </w:rPr>
        <w:t>F</w:t>
      </w:r>
      <w:r>
        <w:rPr>
          <w:rFonts w:cs="Arial"/>
          <w:color w:val="000000"/>
          <w:szCs w:val="24"/>
          <w:lang w:val="en" w:eastAsia="en-GB"/>
        </w:rPr>
        <w:t xml:space="preserve">inance </w:t>
      </w:r>
      <w:r w:rsidRPr="00997EFC">
        <w:rPr>
          <w:rFonts w:cs="Arial"/>
          <w:color w:val="000000"/>
          <w:szCs w:val="24"/>
          <w:lang w:val="en" w:eastAsia="en-GB"/>
        </w:rPr>
        <w:t>A</w:t>
      </w:r>
      <w:r>
        <w:rPr>
          <w:rFonts w:cs="Arial"/>
          <w:color w:val="000000"/>
          <w:szCs w:val="24"/>
          <w:lang w:val="en" w:eastAsia="en-GB"/>
        </w:rPr>
        <w:t>ct</w:t>
      </w:r>
      <w:r w:rsidRPr="00997EFC">
        <w:rPr>
          <w:rFonts w:cs="Arial"/>
          <w:color w:val="000000"/>
          <w:szCs w:val="24"/>
          <w:lang w:val="en" w:eastAsia="en-GB"/>
        </w:rPr>
        <w:t xml:space="preserve"> 2012, regulations set out detailed formulae </w:t>
      </w:r>
      <w:proofErr w:type="gramStart"/>
      <w:r w:rsidRPr="00997EFC">
        <w:rPr>
          <w:rFonts w:cs="Arial"/>
          <w:color w:val="000000"/>
          <w:szCs w:val="24"/>
          <w:lang w:val="en" w:eastAsia="en-GB"/>
        </w:rPr>
        <w:t>for  the</w:t>
      </w:r>
      <w:proofErr w:type="gramEnd"/>
      <w:r w:rsidRPr="00997EFC">
        <w:rPr>
          <w:rFonts w:cs="Arial"/>
          <w:color w:val="000000"/>
          <w:szCs w:val="24"/>
          <w:lang w:val="en" w:eastAsia="en-GB"/>
        </w:rPr>
        <w:t xml:space="preserve"> calculation of an annual estimated Business Rates. The starting point is the amount payable by businesses to the authority under s.43 and 45 of the 1988 Act in the preceding year.  An estimate is then calculated taking into account adjustments for RPI, transitional protection payments, collection costs and disregarded amounts. At the end of each year the authority must arrange for calculations and amounts to be certified in accordance with arrangements set out by the Secretary of State. </w:t>
      </w:r>
    </w:p>
    <w:p w:rsidR="00A93C4F" w:rsidRPr="00997EFC" w:rsidRDefault="00A93C4F" w:rsidP="00A93C4F">
      <w:pPr>
        <w:ind w:left="561" w:hanging="561"/>
        <w:jc w:val="both"/>
        <w:rPr>
          <w:rFonts w:cs="Arial"/>
          <w:color w:val="000000"/>
          <w:szCs w:val="24"/>
          <w:lang w:val="en" w:eastAsia="en-GB"/>
        </w:rPr>
      </w:pPr>
    </w:p>
    <w:p w:rsidR="00A93C4F" w:rsidRPr="00BF0DB1" w:rsidRDefault="00A93C4F" w:rsidP="00A93C4F">
      <w:pPr>
        <w:ind w:left="561" w:hanging="561"/>
        <w:jc w:val="both"/>
        <w:rPr>
          <w:rFonts w:cs="Arial"/>
          <w:szCs w:val="24"/>
          <w:lang w:val="en" w:eastAsia="en-GB"/>
        </w:rPr>
      </w:pPr>
      <w:r>
        <w:rPr>
          <w:rFonts w:cs="Arial"/>
          <w:color w:val="000000"/>
          <w:szCs w:val="24"/>
          <w:lang w:val="en" w:eastAsia="en-GB"/>
        </w:rPr>
        <w:t>2.8</w:t>
      </w:r>
      <w:r w:rsidRPr="00BF0DB1">
        <w:rPr>
          <w:rFonts w:cs="Arial"/>
          <w:szCs w:val="24"/>
          <w:lang w:val="en" w:eastAsia="en-GB"/>
        </w:rPr>
        <w:tab/>
        <w:t>Income raised</w:t>
      </w:r>
      <w:r>
        <w:rPr>
          <w:rFonts w:cs="Arial"/>
          <w:szCs w:val="24"/>
          <w:lang w:val="en" w:eastAsia="en-GB"/>
        </w:rPr>
        <w:t xml:space="preserve"> will, for the financial year 2020/21, </w:t>
      </w:r>
      <w:proofErr w:type="gramStart"/>
      <w:r>
        <w:rPr>
          <w:rFonts w:cs="Arial"/>
          <w:szCs w:val="24"/>
          <w:lang w:val="en" w:eastAsia="en-GB"/>
        </w:rPr>
        <w:t xml:space="preserve">be </w:t>
      </w:r>
      <w:r w:rsidRPr="00BF0DB1">
        <w:rPr>
          <w:rFonts w:cs="Arial"/>
          <w:szCs w:val="24"/>
          <w:lang w:val="en" w:eastAsia="en-GB"/>
        </w:rPr>
        <w:t xml:space="preserve"> allocated</w:t>
      </w:r>
      <w:proofErr w:type="gramEnd"/>
      <w:r w:rsidRPr="00BF0DB1">
        <w:rPr>
          <w:rFonts w:cs="Arial"/>
          <w:szCs w:val="24"/>
          <w:lang w:val="en" w:eastAsia="en-GB"/>
        </w:rPr>
        <w:t xml:space="preserve"> as follows; Harrow retains </w:t>
      </w:r>
      <w:r>
        <w:rPr>
          <w:rFonts w:cs="Arial"/>
          <w:szCs w:val="24"/>
          <w:lang w:val="en" w:eastAsia="en-GB"/>
        </w:rPr>
        <w:t>30</w:t>
      </w:r>
      <w:r w:rsidRPr="00BF0DB1">
        <w:rPr>
          <w:rFonts w:cs="Arial"/>
          <w:szCs w:val="24"/>
          <w:lang w:val="en" w:eastAsia="en-GB"/>
        </w:rPr>
        <w:t xml:space="preserve">%, the GLA’s retains </w:t>
      </w:r>
      <w:r>
        <w:rPr>
          <w:rFonts w:cs="Arial"/>
          <w:szCs w:val="24"/>
          <w:lang w:val="en" w:eastAsia="en-GB"/>
        </w:rPr>
        <w:t>37</w:t>
      </w:r>
      <w:r w:rsidRPr="00BF0DB1">
        <w:rPr>
          <w:rFonts w:cs="Arial"/>
          <w:szCs w:val="24"/>
          <w:lang w:val="en" w:eastAsia="en-GB"/>
        </w:rPr>
        <w:t>%, and</w:t>
      </w:r>
      <w:r w:rsidR="0026024D">
        <w:rPr>
          <w:rFonts w:cs="Arial"/>
          <w:szCs w:val="24"/>
          <w:lang w:val="en" w:eastAsia="en-GB"/>
        </w:rPr>
        <w:t xml:space="preserve"> the </w:t>
      </w:r>
      <w:r w:rsidR="0026024D">
        <w:rPr>
          <w:lang w:val="en"/>
        </w:rPr>
        <w:t xml:space="preserve">Ministry of </w:t>
      </w:r>
      <w:r w:rsidR="0026024D">
        <w:rPr>
          <w:lang w:val="en"/>
        </w:rPr>
        <w:lastRenderedPageBreak/>
        <w:t>Housing, Communities and Local Government (</w:t>
      </w:r>
      <w:r>
        <w:rPr>
          <w:rFonts w:cs="Arial"/>
          <w:szCs w:val="24"/>
          <w:lang w:val="en" w:eastAsia="en-GB"/>
        </w:rPr>
        <w:t>MH</w:t>
      </w:r>
      <w:r w:rsidRPr="00BF0DB1">
        <w:rPr>
          <w:rFonts w:cs="Arial"/>
          <w:szCs w:val="24"/>
          <w:lang w:val="en" w:eastAsia="en-GB"/>
        </w:rPr>
        <w:t>CLG</w:t>
      </w:r>
      <w:r w:rsidR="0026024D">
        <w:rPr>
          <w:rFonts w:cs="Arial"/>
          <w:szCs w:val="24"/>
          <w:lang w:val="en" w:eastAsia="en-GB"/>
        </w:rPr>
        <w:t>)</w:t>
      </w:r>
      <w:r w:rsidRPr="00BF0DB1">
        <w:rPr>
          <w:rFonts w:cs="Arial"/>
          <w:szCs w:val="24"/>
          <w:lang w:val="en" w:eastAsia="en-GB"/>
        </w:rPr>
        <w:t xml:space="preserve"> retains the balance, </w:t>
      </w:r>
      <w:r>
        <w:rPr>
          <w:rFonts w:cs="Arial"/>
          <w:szCs w:val="24"/>
          <w:lang w:val="en" w:eastAsia="en-GB"/>
        </w:rPr>
        <w:t>33</w:t>
      </w:r>
      <w:r w:rsidRPr="00BF0DB1">
        <w:rPr>
          <w:rFonts w:cs="Arial"/>
          <w:szCs w:val="24"/>
          <w:lang w:val="en" w:eastAsia="en-GB"/>
        </w:rPr>
        <w:t>%.</w:t>
      </w:r>
    </w:p>
    <w:p w:rsidR="00A93C4F" w:rsidRDefault="00A93C4F" w:rsidP="00A93C4F">
      <w:pPr>
        <w:ind w:left="561" w:hanging="561"/>
        <w:jc w:val="both"/>
        <w:rPr>
          <w:rFonts w:cs="Arial"/>
          <w:color w:val="000000"/>
          <w:szCs w:val="24"/>
          <w:lang w:val="en" w:eastAsia="en-GB"/>
        </w:rPr>
      </w:pPr>
    </w:p>
    <w:p w:rsidR="00A93C4F" w:rsidRDefault="00A93C4F" w:rsidP="00A93C4F">
      <w:pPr>
        <w:ind w:left="561" w:hanging="561"/>
        <w:jc w:val="both"/>
        <w:rPr>
          <w:rFonts w:cs="Arial"/>
          <w:szCs w:val="24"/>
          <w:lang w:eastAsia="en-GB"/>
        </w:rPr>
      </w:pPr>
      <w:r>
        <w:rPr>
          <w:rFonts w:cs="Arial"/>
          <w:color w:val="000000"/>
          <w:szCs w:val="24"/>
          <w:lang w:val="en" w:eastAsia="en-GB"/>
        </w:rPr>
        <w:t xml:space="preserve"> 2.9</w:t>
      </w:r>
      <w:r w:rsidRPr="00997EFC">
        <w:rPr>
          <w:rFonts w:cs="Arial"/>
        </w:rPr>
        <w:tab/>
        <w:t>Throughout the year, the authority retains a fixed amount and pays a fixed amount to preceptors. A</w:t>
      </w:r>
      <w:r w:rsidRPr="00997EFC">
        <w:rPr>
          <w:rFonts w:cs="Arial"/>
          <w:szCs w:val="24"/>
          <w:lang w:eastAsia="en-GB"/>
        </w:rPr>
        <w:t xml:space="preserve">ny difference between forecast amounts and final outturns will result in a surplus, or deficit on the billing authority’s Collection Fund.  Any such surplus or deficit is shared between the parties to the Pool and has to be taken into account as part of the future year’s budget process. </w:t>
      </w:r>
    </w:p>
    <w:p w:rsidR="00A93C4F" w:rsidRDefault="00A93C4F" w:rsidP="00A93C4F">
      <w:pPr>
        <w:ind w:left="561" w:hanging="561"/>
        <w:jc w:val="both"/>
        <w:rPr>
          <w:rFonts w:cs="Arial"/>
          <w:szCs w:val="24"/>
          <w:lang w:eastAsia="en-GB"/>
        </w:rPr>
      </w:pPr>
    </w:p>
    <w:p w:rsidR="00A93C4F" w:rsidRPr="0038706C" w:rsidRDefault="00A93C4F" w:rsidP="00A93C4F">
      <w:pPr>
        <w:ind w:left="561" w:hanging="561"/>
        <w:jc w:val="both"/>
        <w:rPr>
          <w:rFonts w:cs="Arial"/>
          <w:szCs w:val="24"/>
          <w:lang w:val="en" w:eastAsia="en-GB"/>
        </w:rPr>
      </w:pPr>
      <w:r>
        <w:rPr>
          <w:rFonts w:cs="Arial"/>
          <w:szCs w:val="24"/>
          <w:lang w:val="en" w:eastAsia="en-GB"/>
        </w:rPr>
        <w:t>2.10</w:t>
      </w:r>
      <w:r w:rsidRPr="0038706C">
        <w:rPr>
          <w:rFonts w:cs="Arial"/>
          <w:szCs w:val="24"/>
          <w:lang w:val="en" w:eastAsia="en-GB"/>
        </w:rPr>
        <w:tab/>
      </w:r>
      <w:r w:rsidRPr="007E63B6">
        <w:rPr>
          <w:rFonts w:cs="Arial"/>
          <w:szCs w:val="24"/>
          <w:lang w:val="en" w:eastAsia="en-GB"/>
        </w:rPr>
        <w:t xml:space="preserve">As Harrow will continue to be part of a London Pool, </w:t>
      </w:r>
      <w:r w:rsidRPr="0038706C">
        <w:rPr>
          <w:rFonts w:cs="Arial"/>
          <w:szCs w:val="24"/>
          <w:lang w:val="en" w:eastAsia="en-GB"/>
        </w:rPr>
        <w:t>Harrow w</w:t>
      </w:r>
      <w:r>
        <w:rPr>
          <w:rFonts w:cs="Arial"/>
          <w:szCs w:val="24"/>
          <w:lang w:val="en" w:eastAsia="en-GB"/>
        </w:rPr>
        <w:t>ill</w:t>
      </w:r>
      <w:r w:rsidRPr="0038706C">
        <w:rPr>
          <w:rFonts w:cs="Arial"/>
          <w:szCs w:val="24"/>
          <w:lang w:val="en" w:eastAsia="en-GB"/>
        </w:rPr>
        <w:t xml:space="preserve"> receive a proportion of the collective growth </w:t>
      </w:r>
      <w:r>
        <w:rPr>
          <w:rFonts w:cs="Arial"/>
          <w:szCs w:val="24"/>
          <w:lang w:val="en" w:eastAsia="en-GB"/>
        </w:rPr>
        <w:t>in London arising from the pool should this occur. This will however be much less than the amounts received in both 2018/19 and 2019/20, when either a 100% or 75% retention pilot scheme was in place.</w:t>
      </w:r>
    </w:p>
    <w:p w:rsidR="00A93C4F" w:rsidRPr="0038706C" w:rsidRDefault="00A93C4F" w:rsidP="00A93C4F">
      <w:pPr>
        <w:jc w:val="both"/>
        <w:rPr>
          <w:rFonts w:cs="Arial"/>
          <w:szCs w:val="24"/>
          <w:lang w:val="en" w:eastAsia="en-GB"/>
        </w:rPr>
      </w:pPr>
    </w:p>
    <w:p w:rsidR="00A93C4F" w:rsidRDefault="00A93C4F" w:rsidP="00A93C4F">
      <w:pPr>
        <w:tabs>
          <w:tab w:val="left" w:pos="-2520"/>
        </w:tabs>
        <w:spacing w:after="120"/>
        <w:ind w:left="360"/>
        <w:jc w:val="both"/>
        <w:outlineLvl w:val="0"/>
        <w:rPr>
          <w:rFonts w:cs="Arial"/>
          <w:b/>
          <w:bCs/>
          <w:sz w:val="28"/>
          <w:szCs w:val="28"/>
        </w:rPr>
      </w:pPr>
      <w:bookmarkStart w:id="1" w:name="_Toc313866137"/>
      <w:bookmarkStart w:id="2" w:name="_Toc337200288"/>
    </w:p>
    <w:p w:rsidR="00A93C4F" w:rsidRDefault="00A93C4F" w:rsidP="00A93C4F">
      <w:pPr>
        <w:tabs>
          <w:tab w:val="left" w:pos="-2520"/>
        </w:tabs>
        <w:spacing w:after="120"/>
        <w:ind w:left="360"/>
        <w:jc w:val="both"/>
        <w:outlineLvl w:val="0"/>
        <w:rPr>
          <w:rFonts w:cs="Arial"/>
          <w:b/>
          <w:bCs/>
          <w:sz w:val="28"/>
          <w:szCs w:val="28"/>
        </w:rPr>
      </w:pPr>
      <w:r w:rsidRPr="00997EFC">
        <w:rPr>
          <w:rFonts w:cs="Arial"/>
          <w:b/>
          <w:bCs/>
          <w:sz w:val="28"/>
          <w:szCs w:val="28"/>
        </w:rPr>
        <w:t xml:space="preserve">Harrow’s </w:t>
      </w:r>
      <w:r>
        <w:rPr>
          <w:rFonts w:cs="Arial"/>
          <w:b/>
          <w:bCs/>
          <w:sz w:val="28"/>
          <w:szCs w:val="28"/>
        </w:rPr>
        <w:t>National Non Domestic Rates (</w:t>
      </w:r>
      <w:r w:rsidRPr="00997EFC">
        <w:rPr>
          <w:rFonts w:cs="Arial"/>
          <w:b/>
          <w:bCs/>
          <w:sz w:val="28"/>
          <w:szCs w:val="28"/>
        </w:rPr>
        <w:t>NDR</w:t>
      </w:r>
      <w:r w:rsidR="00E66229">
        <w:rPr>
          <w:rFonts w:cs="Arial"/>
          <w:b/>
          <w:bCs/>
          <w:sz w:val="28"/>
          <w:szCs w:val="28"/>
        </w:rPr>
        <w:t xml:space="preserve">) retained amount for </w:t>
      </w:r>
      <w:r w:rsidRPr="00997EFC">
        <w:rPr>
          <w:rFonts w:cs="Arial"/>
          <w:b/>
          <w:bCs/>
          <w:sz w:val="28"/>
          <w:szCs w:val="28"/>
        </w:rPr>
        <w:t>20</w:t>
      </w:r>
      <w:r>
        <w:rPr>
          <w:rFonts w:cs="Arial"/>
          <w:b/>
          <w:bCs/>
          <w:sz w:val="28"/>
          <w:szCs w:val="28"/>
        </w:rPr>
        <w:t>20</w:t>
      </w:r>
      <w:r w:rsidRPr="00997EFC">
        <w:rPr>
          <w:rFonts w:cs="Arial"/>
          <w:b/>
          <w:bCs/>
          <w:sz w:val="28"/>
          <w:szCs w:val="28"/>
        </w:rPr>
        <w:t>/</w:t>
      </w:r>
      <w:r>
        <w:rPr>
          <w:rFonts w:cs="Arial"/>
          <w:b/>
          <w:bCs/>
          <w:sz w:val="28"/>
          <w:szCs w:val="28"/>
        </w:rPr>
        <w:t>21</w:t>
      </w:r>
      <w:bookmarkEnd w:id="1"/>
      <w:bookmarkEnd w:id="2"/>
    </w:p>
    <w:p w:rsidR="00A93C4F" w:rsidRPr="00997EFC" w:rsidRDefault="00A93C4F" w:rsidP="00A93C4F">
      <w:pPr>
        <w:ind w:left="561" w:hanging="561"/>
        <w:jc w:val="both"/>
      </w:pPr>
      <w:r>
        <w:t>2.11</w:t>
      </w:r>
      <w:r w:rsidRPr="00997EFC">
        <w:t>The forecast in this report takes into account the latest data available including an estimate of likely reliefs, reductions due to appeals and an estimate of likely losses due to some debts being uncollectable.</w:t>
      </w:r>
    </w:p>
    <w:p w:rsidR="00A93C4F" w:rsidRPr="00997EFC" w:rsidRDefault="00A93C4F" w:rsidP="00A93C4F">
      <w:pPr>
        <w:ind w:left="561" w:hanging="561"/>
        <w:jc w:val="both"/>
      </w:pPr>
    </w:p>
    <w:p w:rsidR="00A93C4F" w:rsidRDefault="00A93C4F" w:rsidP="00A93C4F">
      <w:pPr>
        <w:ind w:left="561" w:hanging="561"/>
        <w:jc w:val="both"/>
      </w:pPr>
      <w:r>
        <w:t>2.12</w:t>
      </w:r>
      <w:r w:rsidRPr="00997EFC">
        <w:t>The forecast is requi</w:t>
      </w:r>
      <w:r>
        <w:t>red to be formally notified to MH</w:t>
      </w:r>
      <w:r w:rsidRPr="00997EFC">
        <w:t xml:space="preserve">CLG and preceptors. This is done by billing authorities having to complete a </w:t>
      </w:r>
      <w:r>
        <w:t xml:space="preserve">MHCLG </w:t>
      </w:r>
      <w:r w:rsidRPr="00997EFC">
        <w:t xml:space="preserve">business rates return estimating the likely business rates. The return takes the form of a formal National Non-Domestic rates return 1 (NDR1) and uses the data used for the Council’s Business Rates Tax Base estimate. </w:t>
      </w:r>
    </w:p>
    <w:p w:rsidR="00A93C4F" w:rsidRDefault="00A93C4F" w:rsidP="00A93C4F">
      <w:pPr>
        <w:ind w:left="561" w:hanging="561"/>
        <w:jc w:val="both"/>
      </w:pPr>
    </w:p>
    <w:p w:rsidR="00A93C4F" w:rsidRDefault="00A93C4F" w:rsidP="00A93C4F">
      <w:pPr>
        <w:ind w:left="561" w:hanging="561"/>
        <w:jc w:val="both"/>
      </w:pPr>
      <w:r>
        <w:t>2.13</w:t>
      </w:r>
      <w:r w:rsidRPr="00997EFC">
        <w:t>The calculation of Harrow’s NDR income figure for 20</w:t>
      </w:r>
      <w:r>
        <w:t>20</w:t>
      </w:r>
      <w:r w:rsidRPr="00997EFC">
        <w:t>/</w:t>
      </w:r>
      <w:r>
        <w:t>21</w:t>
      </w:r>
      <w:r w:rsidRPr="00997EFC">
        <w:t xml:space="preserve"> and for the formal outturn is therefore as follows;</w:t>
      </w:r>
    </w:p>
    <w:p w:rsidR="00A93C4F" w:rsidRDefault="00A93C4F" w:rsidP="00A93C4F">
      <w:pPr>
        <w:ind w:left="561" w:hanging="561"/>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A93C4F" w:rsidRPr="00997EFC" w:rsidTr="000D01C8">
        <w:tc>
          <w:tcPr>
            <w:tcW w:w="6804" w:type="dxa"/>
          </w:tcPr>
          <w:p w:rsidR="00A93C4F" w:rsidRPr="00997EFC" w:rsidRDefault="00A93C4F" w:rsidP="000D01C8">
            <w:pPr>
              <w:jc w:val="both"/>
              <w:rPr>
                <w:szCs w:val="24"/>
              </w:rPr>
            </w:pPr>
            <w:r w:rsidRPr="00997EFC">
              <w:rPr>
                <w:szCs w:val="24"/>
              </w:rPr>
              <w:t>Gross Rates Yield:</w:t>
            </w:r>
          </w:p>
          <w:p w:rsidR="00A93C4F" w:rsidRPr="00997EFC" w:rsidRDefault="00A93C4F" w:rsidP="000D01C8">
            <w:pPr>
              <w:jc w:val="both"/>
              <w:rPr>
                <w:szCs w:val="24"/>
              </w:rPr>
            </w:pPr>
            <w:r w:rsidRPr="00997EFC">
              <w:rPr>
                <w:szCs w:val="24"/>
              </w:rPr>
              <w:t xml:space="preserve">                Total Rateable value  x  NDR rate multiplier</w:t>
            </w:r>
          </w:p>
        </w:tc>
      </w:tr>
      <w:tr w:rsidR="00A93C4F" w:rsidRPr="00997EFC" w:rsidTr="000D01C8">
        <w:tc>
          <w:tcPr>
            <w:tcW w:w="6804" w:type="dxa"/>
          </w:tcPr>
          <w:p w:rsidR="00A93C4F" w:rsidRPr="00997EFC" w:rsidRDefault="00A93C4F" w:rsidP="000D01C8">
            <w:pPr>
              <w:jc w:val="both"/>
              <w:rPr>
                <w:szCs w:val="24"/>
              </w:rPr>
            </w:pPr>
            <w:r w:rsidRPr="00997EFC">
              <w:rPr>
                <w:szCs w:val="24"/>
              </w:rPr>
              <w:t>Less Mandatory Reliefs</w:t>
            </w:r>
          </w:p>
        </w:tc>
      </w:tr>
      <w:tr w:rsidR="00A93C4F" w:rsidRPr="00997EFC" w:rsidTr="000D01C8">
        <w:tc>
          <w:tcPr>
            <w:tcW w:w="6804" w:type="dxa"/>
          </w:tcPr>
          <w:p w:rsidR="00A93C4F" w:rsidRPr="00997EFC" w:rsidRDefault="00A93C4F" w:rsidP="000D01C8">
            <w:pPr>
              <w:jc w:val="both"/>
              <w:rPr>
                <w:szCs w:val="24"/>
              </w:rPr>
            </w:pPr>
            <w:r w:rsidRPr="00997EFC">
              <w:rPr>
                <w:szCs w:val="24"/>
              </w:rPr>
              <w:t>Less Discretionary Reliefs</w:t>
            </w:r>
          </w:p>
        </w:tc>
      </w:tr>
      <w:tr w:rsidR="00A93C4F" w:rsidRPr="00997EFC" w:rsidTr="000D01C8">
        <w:tc>
          <w:tcPr>
            <w:tcW w:w="6804" w:type="dxa"/>
          </w:tcPr>
          <w:p w:rsidR="00A93C4F" w:rsidRPr="00997EFC" w:rsidRDefault="00A93C4F" w:rsidP="000D01C8">
            <w:pPr>
              <w:jc w:val="both"/>
              <w:rPr>
                <w:szCs w:val="24"/>
              </w:rPr>
            </w:pPr>
            <w:r w:rsidRPr="00997EFC">
              <w:rPr>
                <w:szCs w:val="24"/>
              </w:rPr>
              <w:t>Less estimated losses on Collection</w:t>
            </w:r>
          </w:p>
        </w:tc>
      </w:tr>
      <w:tr w:rsidR="00A93C4F" w:rsidRPr="00997EFC" w:rsidTr="000D01C8">
        <w:tc>
          <w:tcPr>
            <w:tcW w:w="6804" w:type="dxa"/>
          </w:tcPr>
          <w:p w:rsidR="00A93C4F" w:rsidRPr="00997EFC" w:rsidRDefault="00A93C4F" w:rsidP="000D01C8">
            <w:pPr>
              <w:jc w:val="both"/>
              <w:rPr>
                <w:szCs w:val="24"/>
              </w:rPr>
            </w:pPr>
            <w:r w:rsidRPr="00997EFC">
              <w:rPr>
                <w:szCs w:val="24"/>
              </w:rPr>
              <w:t xml:space="preserve">Less Allowance for </w:t>
            </w:r>
            <w:r>
              <w:rPr>
                <w:szCs w:val="24"/>
              </w:rPr>
              <w:t>costs of collection (as set by MH</w:t>
            </w:r>
            <w:r w:rsidRPr="00997EFC">
              <w:rPr>
                <w:szCs w:val="24"/>
              </w:rPr>
              <w:t>CLG formula)</w:t>
            </w:r>
          </w:p>
        </w:tc>
      </w:tr>
      <w:tr w:rsidR="00A93C4F" w:rsidRPr="00997EFC" w:rsidTr="000D01C8">
        <w:tc>
          <w:tcPr>
            <w:tcW w:w="6804" w:type="dxa"/>
          </w:tcPr>
          <w:p w:rsidR="00A93C4F" w:rsidRPr="00997EFC" w:rsidRDefault="00A93C4F" w:rsidP="000D01C8">
            <w:pPr>
              <w:jc w:val="both"/>
              <w:rPr>
                <w:szCs w:val="24"/>
              </w:rPr>
            </w:pPr>
            <w:r w:rsidRPr="00997EFC">
              <w:rPr>
                <w:szCs w:val="24"/>
              </w:rPr>
              <w:t>Plus or Minus Rate Retention Adjustments for:</w:t>
            </w:r>
          </w:p>
          <w:p w:rsidR="00A93C4F" w:rsidRPr="00997EFC" w:rsidRDefault="00A93C4F" w:rsidP="000D01C8">
            <w:pPr>
              <w:jc w:val="both"/>
              <w:rPr>
                <w:szCs w:val="24"/>
              </w:rPr>
            </w:pPr>
            <w:r w:rsidRPr="00997EFC">
              <w:rPr>
                <w:szCs w:val="24"/>
              </w:rPr>
              <w:t xml:space="preserve">                 Change in Rateable Value due to growth or </w:t>
            </w:r>
          </w:p>
          <w:p w:rsidR="00A93C4F" w:rsidRPr="00997EFC" w:rsidRDefault="00A93C4F" w:rsidP="000D01C8">
            <w:pPr>
              <w:jc w:val="both"/>
              <w:rPr>
                <w:szCs w:val="24"/>
              </w:rPr>
            </w:pPr>
            <w:r w:rsidRPr="00997EFC">
              <w:rPr>
                <w:szCs w:val="24"/>
              </w:rPr>
              <w:t xml:space="preserve">                 reduction in property numbers</w:t>
            </w:r>
          </w:p>
          <w:p w:rsidR="00A93C4F" w:rsidRPr="00997EFC" w:rsidRDefault="00A93C4F" w:rsidP="000D01C8">
            <w:pPr>
              <w:jc w:val="both"/>
              <w:rPr>
                <w:szCs w:val="24"/>
              </w:rPr>
            </w:pPr>
            <w:r w:rsidRPr="00997EFC">
              <w:rPr>
                <w:szCs w:val="24"/>
              </w:rPr>
              <w:t xml:space="preserve">                 Adjustment due to Appeals                  </w:t>
            </w:r>
          </w:p>
        </w:tc>
      </w:tr>
      <w:tr w:rsidR="00A93C4F" w:rsidRPr="00997EFC" w:rsidTr="000D01C8">
        <w:tc>
          <w:tcPr>
            <w:tcW w:w="6804" w:type="dxa"/>
          </w:tcPr>
          <w:p w:rsidR="00A93C4F" w:rsidRPr="00997EFC" w:rsidRDefault="00A93C4F" w:rsidP="000D01C8">
            <w:pPr>
              <w:jc w:val="both"/>
              <w:rPr>
                <w:szCs w:val="24"/>
              </w:rPr>
            </w:pPr>
            <w:r w:rsidRPr="00997EFC">
              <w:rPr>
                <w:szCs w:val="24"/>
              </w:rPr>
              <w:t>Net Business Rates Yield and base of the calculation of central and local shares</w:t>
            </w:r>
          </w:p>
        </w:tc>
      </w:tr>
    </w:tbl>
    <w:p w:rsidR="00A93C4F" w:rsidRDefault="00A93C4F" w:rsidP="00A93C4F">
      <w:pPr>
        <w:keepLines/>
        <w:tabs>
          <w:tab w:val="left" w:pos="851"/>
        </w:tabs>
        <w:spacing w:before="240" w:line="300" w:lineRule="exact"/>
        <w:jc w:val="both"/>
        <w:rPr>
          <w:b/>
          <w:color w:val="323232"/>
          <w:szCs w:val="24"/>
        </w:rPr>
      </w:pPr>
    </w:p>
    <w:p w:rsidR="00A93C4F" w:rsidRDefault="00A93C4F" w:rsidP="00A93C4F">
      <w:pPr>
        <w:keepLines/>
        <w:tabs>
          <w:tab w:val="left" w:pos="851"/>
        </w:tabs>
        <w:spacing w:before="240" w:line="300" w:lineRule="exact"/>
        <w:jc w:val="both"/>
        <w:rPr>
          <w:b/>
          <w:color w:val="323232"/>
          <w:szCs w:val="24"/>
        </w:rPr>
      </w:pPr>
    </w:p>
    <w:p w:rsidR="00A93C4F" w:rsidRDefault="00A93C4F" w:rsidP="00A93C4F">
      <w:pPr>
        <w:keepLines/>
        <w:tabs>
          <w:tab w:val="left" w:pos="851"/>
        </w:tabs>
        <w:spacing w:before="240" w:line="300" w:lineRule="exact"/>
        <w:jc w:val="both"/>
        <w:rPr>
          <w:b/>
          <w:color w:val="323232"/>
          <w:sz w:val="28"/>
          <w:szCs w:val="28"/>
        </w:rPr>
      </w:pPr>
      <w:r>
        <w:rPr>
          <w:b/>
          <w:color w:val="323232"/>
          <w:szCs w:val="24"/>
        </w:rPr>
        <w:t>2.14</w:t>
      </w:r>
      <w:r w:rsidRPr="00997EFC">
        <w:rPr>
          <w:color w:val="323232"/>
          <w:sz w:val="22"/>
          <w:szCs w:val="24"/>
        </w:rPr>
        <w:t xml:space="preserve">         </w:t>
      </w:r>
      <w:r w:rsidRPr="00997EFC">
        <w:rPr>
          <w:b/>
          <w:color w:val="323232"/>
          <w:sz w:val="28"/>
          <w:szCs w:val="28"/>
        </w:rPr>
        <w:t>Table 1</w:t>
      </w:r>
    </w:p>
    <w:p w:rsidR="00A93C4F" w:rsidRDefault="00A93C4F" w:rsidP="00A93C4F">
      <w:pPr>
        <w:keepLines/>
        <w:tabs>
          <w:tab w:val="left" w:pos="851"/>
        </w:tabs>
        <w:jc w:val="both"/>
        <w:rPr>
          <w:b/>
          <w:color w:val="323232"/>
          <w:szCs w:val="24"/>
        </w:rPr>
      </w:pPr>
      <w:r w:rsidRPr="000228DD">
        <w:rPr>
          <w:b/>
          <w:color w:val="323232"/>
          <w:szCs w:val="24"/>
        </w:rPr>
        <w:lastRenderedPageBreak/>
        <w:t>Projected NDR income calculation for 20</w:t>
      </w:r>
      <w:r>
        <w:rPr>
          <w:b/>
          <w:color w:val="323232"/>
          <w:szCs w:val="24"/>
        </w:rPr>
        <w:t>20</w:t>
      </w:r>
      <w:r w:rsidRPr="000228DD">
        <w:rPr>
          <w:b/>
          <w:color w:val="323232"/>
          <w:szCs w:val="24"/>
        </w:rPr>
        <w:t>/2</w:t>
      </w:r>
      <w:r>
        <w:rPr>
          <w:b/>
          <w:color w:val="323232"/>
          <w:szCs w:val="24"/>
        </w:rPr>
        <w:t>1</w:t>
      </w:r>
      <w:r w:rsidRPr="000228DD">
        <w:rPr>
          <w:b/>
          <w:color w:val="323232"/>
          <w:szCs w:val="24"/>
        </w:rPr>
        <w:t xml:space="preserve"> </w:t>
      </w:r>
    </w:p>
    <w:p w:rsidR="00A93C4F" w:rsidRDefault="00A93C4F" w:rsidP="00A93C4F">
      <w:pPr>
        <w:keepLines/>
        <w:tabs>
          <w:tab w:val="left" w:pos="851"/>
        </w:tabs>
        <w:jc w:val="both"/>
        <w:rPr>
          <w:b/>
          <w:color w:val="323232"/>
          <w:szCs w:val="24"/>
        </w:rPr>
      </w:pPr>
    </w:p>
    <w:p w:rsidR="00A93C4F" w:rsidRPr="000228DD" w:rsidRDefault="00A93C4F" w:rsidP="00A93C4F">
      <w:pPr>
        <w:keepLines/>
        <w:tabs>
          <w:tab w:val="left" w:pos="851"/>
        </w:tabs>
        <w:jc w:val="both"/>
        <w:rPr>
          <w:b/>
          <w:color w:val="323232"/>
          <w:szCs w:val="24"/>
        </w:rPr>
      </w:pPr>
      <w:r>
        <w:rPr>
          <w:noProof/>
          <w:lang w:eastAsia="en-GB"/>
        </w:rPr>
        <w:drawing>
          <wp:inline distT="0" distB="0" distL="0" distR="0">
            <wp:extent cx="5267325" cy="7858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7858125"/>
                    </a:xfrm>
                    <a:prstGeom prst="rect">
                      <a:avLst/>
                    </a:prstGeom>
                    <a:noFill/>
                    <a:ln>
                      <a:noFill/>
                    </a:ln>
                  </pic:spPr>
                </pic:pic>
              </a:graphicData>
            </a:graphic>
          </wp:inline>
        </w:drawing>
      </w:r>
    </w:p>
    <w:p w:rsidR="00A93C4F" w:rsidRDefault="00A93C4F" w:rsidP="00A93C4F">
      <w:pPr>
        <w:ind w:left="720" w:hanging="720"/>
        <w:rPr>
          <w:b/>
        </w:rPr>
      </w:pPr>
    </w:p>
    <w:p w:rsidR="00A93C4F" w:rsidRPr="00BF1393" w:rsidRDefault="00A93C4F" w:rsidP="00A93C4F">
      <w:pPr>
        <w:rPr>
          <w:b/>
          <w:sz w:val="16"/>
          <w:szCs w:val="16"/>
        </w:rPr>
      </w:pPr>
      <w:r w:rsidRPr="00BF1393">
        <w:rPr>
          <w:b/>
          <w:sz w:val="16"/>
          <w:szCs w:val="16"/>
        </w:rPr>
        <w:t>*Secti</w:t>
      </w:r>
      <w:r>
        <w:rPr>
          <w:b/>
          <w:sz w:val="16"/>
          <w:szCs w:val="16"/>
        </w:rPr>
        <w:t>o</w:t>
      </w:r>
      <w:r w:rsidRPr="00BF1393">
        <w:rPr>
          <w:b/>
          <w:sz w:val="16"/>
          <w:szCs w:val="16"/>
        </w:rPr>
        <w:t xml:space="preserve">n 31 grants are given to LA’s to compensate them for non-statutory rate relief schemes that MHCLG imposes on Councils. It is therefore imperative that the two are monitored together to ensure the overall quantum from the 2 income streams remains static. </w:t>
      </w:r>
    </w:p>
    <w:p w:rsidR="00A93C4F" w:rsidRDefault="00A93C4F" w:rsidP="00A93C4F">
      <w:pPr>
        <w:ind w:left="720" w:hanging="720"/>
        <w:rPr>
          <w:b/>
        </w:rPr>
      </w:pPr>
    </w:p>
    <w:p w:rsidR="00A93C4F" w:rsidRPr="00A93C4F" w:rsidRDefault="00A93C4F" w:rsidP="00A93C4F">
      <w:pPr>
        <w:ind w:left="720" w:hanging="720"/>
      </w:pPr>
    </w:p>
    <w:p w:rsidR="00A93C4F" w:rsidRPr="00A93C4F" w:rsidRDefault="00A93C4F" w:rsidP="00A93C4F">
      <w:pPr>
        <w:ind w:left="720"/>
      </w:pPr>
      <w:r w:rsidRPr="00A93C4F">
        <w:rPr>
          <w:b/>
          <w:sz w:val="28"/>
          <w:szCs w:val="28"/>
        </w:rPr>
        <w:lastRenderedPageBreak/>
        <w:t xml:space="preserve">Reasons for a </w:t>
      </w:r>
      <w:proofErr w:type="gramStart"/>
      <w:r w:rsidRPr="00A93C4F">
        <w:rPr>
          <w:b/>
          <w:sz w:val="28"/>
          <w:szCs w:val="28"/>
        </w:rPr>
        <w:t>Lower  /</w:t>
      </w:r>
      <w:proofErr w:type="gramEnd"/>
      <w:r w:rsidRPr="00A93C4F">
        <w:rPr>
          <w:b/>
          <w:sz w:val="28"/>
          <w:szCs w:val="28"/>
        </w:rPr>
        <w:t xml:space="preserve"> Higher  Retention Amount in 2020/21</w:t>
      </w:r>
    </w:p>
    <w:p w:rsidR="00A93C4F" w:rsidRPr="00A93C4F" w:rsidRDefault="00A93C4F" w:rsidP="00A93C4F"/>
    <w:p w:rsidR="00A93C4F" w:rsidRPr="00A93C4F" w:rsidRDefault="00A93C4F" w:rsidP="00A93C4F">
      <w:pPr>
        <w:ind w:left="720" w:hanging="720"/>
        <w:jc w:val="both"/>
        <w:rPr>
          <w:rFonts w:cs="Arial"/>
          <w:szCs w:val="24"/>
        </w:rPr>
      </w:pPr>
      <w:r w:rsidRPr="00A93C4F">
        <w:rPr>
          <w:rFonts w:cs="Arial"/>
          <w:szCs w:val="24"/>
        </w:rPr>
        <w:t>2.15</w:t>
      </w:r>
      <w:r w:rsidRPr="00A93C4F">
        <w:rPr>
          <w:rFonts w:cs="Arial"/>
          <w:szCs w:val="24"/>
        </w:rPr>
        <w:tab/>
        <w:t xml:space="preserve">Historically, rateable value generally reduces annually in Harrow, this being a trend that has existed locally for several years and one that is likely to continue. This is because Harrow’s tax base is suffering losses which are not being offset by growth.  </w:t>
      </w:r>
    </w:p>
    <w:p w:rsidR="00A93C4F" w:rsidRPr="00A93C4F" w:rsidRDefault="00A93C4F" w:rsidP="00A93C4F">
      <w:pPr>
        <w:ind w:left="720"/>
        <w:jc w:val="both"/>
        <w:rPr>
          <w:rFonts w:cs="Arial"/>
          <w:szCs w:val="24"/>
        </w:rPr>
      </w:pPr>
    </w:p>
    <w:p w:rsidR="00A93C4F" w:rsidRPr="00A93C4F" w:rsidRDefault="00A93C4F" w:rsidP="00A93C4F">
      <w:pPr>
        <w:ind w:firstLine="720"/>
        <w:jc w:val="both"/>
        <w:rPr>
          <w:rFonts w:cs="Arial"/>
          <w:szCs w:val="24"/>
        </w:rPr>
      </w:pPr>
      <w:r w:rsidRPr="00A93C4F">
        <w:rPr>
          <w:rFonts w:cs="Arial"/>
          <w:szCs w:val="24"/>
        </w:rPr>
        <w:t>The reasons for the changes in yield are mainly;</w:t>
      </w:r>
    </w:p>
    <w:p w:rsidR="00A93C4F" w:rsidRPr="00A93C4F" w:rsidRDefault="00A93C4F" w:rsidP="00A93C4F">
      <w:pPr>
        <w:numPr>
          <w:ilvl w:val="0"/>
          <w:numId w:val="12"/>
        </w:numPr>
        <w:jc w:val="both"/>
        <w:rPr>
          <w:rFonts w:cs="Arial"/>
          <w:sz w:val="20"/>
        </w:rPr>
      </w:pPr>
      <w:r w:rsidRPr="00A93C4F">
        <w:rPr>
          <w:rFonts w:cs="Arial"/>
          <w:sz w:val="20"/>
        </w:rPr>
        <w:t xml:space="preserve">Tax Base is being eroded by commercial property being converted to domestic </w:t>
      </w:r>
      <w:r w:rsidR="0026024D">
        <w:rPr>
          <w:rFonts w:cs="Arial"/>
          <w:sz w:val="20"/>
        </w:rPr>
        <w:t xml:space="preserve">accommodation </w:t>
      </w:r>
      <w:r w:rsidRPr="00A93C4F">
        <w:rPr>
          <w:rFonts w:cs="Arial"/>
          <w:sz w:val="20"/>
        </w:rPr>
        <w:t>or being demolished and awaiting domestic properties being built</w:t>
      </w:r>
    </w:p>
    <w:p w:rsidR="00A93C4F" w:rsidRPr="00A93C4F" w:rsidRDefault="00A93C4F" w:rsidP="00A93C4F">
      <w:pPr>
        <w:numPr>
          <w:ilvl w:val="0"/>
          <w:numId w:val="12"/>
        </w:numPr>
        <w:jc w:val="both"/>
        <w:rPr>
          <w:rFonts w:cs="Arial"/>
          <w:sz w:val="20"/>
        </w:rPr>
      </w:pPr>
      <w:r w:rsidRPr="00A93C4F">
        <w:rPr>
          <w:rFonts w:cs="Arial"/>
          <w:sz w:val="20"/>
        </w:rPr>
        <w:t>More occupiers claiming small business rates relief (SBRR) and retail relief (a Government initiative that has given £2m in relief annually since 2019/20</w:t>
      </w:r>
    </w:p>
    <w:p w:rsidR="00A93C4F" w:rsidRPr="00A93C4F" w:rsidRDefault="00A93C4F" w:rsidP="00A93C4F">
      <w:pPr>
        <w:numPr>
          <w:ilvl w:val="0"/>
          <w:numId w:val="12"/>
        </w:numPr>
        <w:jc w:val="both"/>
        <w:rPr>
          <w:rFonts w:cs="Arial"/>
          <w:sz w:val="20"/>
        </w:rPr>
      </w:pPr>
      <w:r w:rsidRPr="00A93C4F">
        <w:rPr>
          <w:rFonts w:cs="Arial"/>
          <w:sz w:val="20"/>
        </w:rPr>
        <w:t xml:space="preserve">More occupiers claiming 80% mandatory charitable relief ( </w:t>
      </w:r>
      <w:proofErr w:type="spellStart"/>
      <w:r w:rsidRPr="00A93C4F">
        <w:rPr>
          <w:rFonts w:cs="Arial"/>
          <w:sz w:val="20"/>
        </w:rPr>
        <w:t>eg</w:t>
      </w:r>
      <w:proofErr w:type="spellEnd"/>
      <w:r w:rsidRPr="00A93C4F">
        <w:rPr>
          <w:rFonts w:cs="Arial"/>
          <w:sz w:val="20"/>
        </w:rPr>
        <w:t xml:space="preserve"> school Academies’)</w:t>
      </w:r>
    </w:p>
    <w:p w:rsidR="00A93C4F" w:rsidRPr="00A93C4F" w:rsidRDefault="00A93C4F" w:rsidP="00A93C4F">
      <w:pPr>
        <w:numPr>
          <w:ilvl w:val="0"/>
          <w:numId w:val="12"/>
        </w:numPr>
        <w:jc w:val="both"/>
        <w:rPr>
          <w:rFonts w:cs="Arial"/>
          <w:sz w:val="20"/>
        </w:rPr>
      </w:pPr>
      <w:r w:rsidRPr="00A93C4F">
        <w:rPr>
          <w:rFonts w:cs="Arial"/>
          <w:sz w:val="20"/>
        </w:rPr>
        <w:t>Insufficient new commercial properties being built to offset losses</w:t>
      </w:r>
    </w:p>
    <w:p w:rsidR="00A93C4F" w:rsidRPr="00A93C4F" w:rsidRDefault="00A93C4F" w:rsidP="00A93C4F">
      <w:pPr>
        <w:ind w:left="1440"/>
        <w:jc w:val="both"/>
        <w:rPr>
          <w:rFonts w:cs="Arial"/>
          <w:sz w:val="20"/>
        </w:rPr>
      </w:pPr>
    </w:p>
    <w:p w:rsidR="00A93C4F" w:rsidRPr="00A93C4F" w:rsidRDefault="00A93C4F" w:rsidP="00A93C4F">
      <w:pPr>
        <w:ind w:left="720"/>
        <w:jc w:val="both"/>
      </w:pPr>
    </w:p>
    <w:p w:rsidR="00A93C4F" w:rsidRPr="00A93C4F" w:rsidRDefault="00A93C4F" w:rsidP="00A93C4F">
      <w:pPr>
        <w:ind w:left="720" w:hanging="720"/>
        <w:jc w:val="both"/>
        <w:rPr>
          <w:rFonts w:cs="Arial"/>
          <w:sz w:val="18"/>
          <w:szCs w:val="18"/>
        </w:rPr>
      </w:pPr>
      <w:r w:rsidRPr="00A93C4F">
        <w:t>2.16</w:t>
      </w:r>
      <w:r w:rsidRPr="00A93C4F">
        <w:tab/>
        <w:t xml:space="preserve">The tax base used to calculate the 2020/21 rate retention amounts has however benefited from an increase in the Sept 2019 RPI which is used to calculate next year’s rating multiplier. </w:t>
      </w:r>
    </w:p>
    <w:p w:rsidR="00A93C4F" w:rsidRPr="00A93C4F" w:rsidRDefault="00A93C4F" w:rsidP="00A93C4F">
      <w:pPr>
        <w:jc w:val="both"/>
        <w:rPr>
          <w:sz w:val="28"/>
          <w:szCs w:val="28"/>
        </w:rPr>
      </w:pPr>
    </w:p>
    <w:p w:rsidR="00A93C4F" w:rsidRPr="00A93C4F" w:rsidRDefault="00A93C4F" w:rsidP="00A93C4F">
      <w:pPr>
        <w:tabs>
          <w:tab w:val="left" w:pos="567"/>
        </w:tabs>
        <w:outlineLvl w:val="1"/>
        <w:rPr>
          <w:rFonts w:cs="Arial"/>
          <w:b/>
          <w:bCs/>
          <w:sz w:val="28"/>
          <w:szCs w:val="32"/>
        </w:rPr>
      </w:pPr>
      <w:r w:rsidRPr="00A93C4F">
        <w:rPr>
          <w:rFonts w:cs="Arial"/>
          <w:b/>
          <w:bCs/>
          <w:sz w:val="28"/>
          <w:szCs w:val="28"/>
        </w:rPr>
        <w:tab/>
      </w:r>
      <w:r w:rsidRPr="00A93C4F">
        <w:rPr>
          <w:rFonts w:cs="Arial"/>
          <w:b/>
          <w:bCs/>
          <w:sz w:val="28"/>
          <w:szCs w:val="32"/>
        </w:rPr>
        <w:t xml:space="preserve">Procurement Implications </w:t>
      </w:r>
    </w:p>
    <w:p w:rsidR="00A93C4F" w:rsidRPr="00A93C4F" w:rsidRDefault="00A93C4F" w:rsidP="00A93C4F">
      <w:pPr>
        <w:tabs>
          <w:tab w:val="left" w:pos="567"/>
        </w:tabs>
        <w:ind w:left="561"/>
        <w:jc w:val="both"/>
        <w:outlineLvl w:val="1"/>
        <w:rPr>
          <w:rFonts w:cs="Arial"/>
          <w:bCs/>
          <w:szCs w:val="24"/>
        </w:rPr>
      </w:pPr>
      <w:r w:rsidRPr="00A93C4F">
        <w:rPr>
          <w:rFonts w:cs="Arial"/>
          <w:b/>
          <w:bCs/>
          <w:sz w:val="28"/>
          <w:szCs w:val="32"/>
        </w:rPr>
        <w:tab/>
      </w:r>
      <w:r w:rsidRPr="00A93C4F">
        <w:rPr>
          <w:rFonts w:cs="Arial"/>
          <w:bCs/>
          <w:szCs w:val="24"/>
        </w:rPr>
        <w:t>T</w:t>
      </w:r>
      <w:r w:rsidRPr="00A93C4F">
        <w:rPr>
          <w:rFonts w:cs="Arial"/>
          <w:bCs/>
          <w:iCs/>
          <w:szCs w:val="24"/>
        </w:rPr>
        <w:t>here are no procurement implications arising from the Recommendations of this report.</w:t>
      </w:r>
    </w:p>
    <w:p w:rsidR="00A93C4F" w:rsidRPr="00A93C4F" w:rsidRDefault="00A93C4F" w:rsidP="00A93C4F">
      <w:pPr>
        <w:rPr>
          <w:rFonts w:cs="Arial"/>
          <w:sz w:val="22"/>
          <w:szCs w:val="22"/>
        </w:rPr>
      </w:pPr>
    </w:p>
    <w:p w:rsidR="00A93C4F" w:rsidRPr="00A93C4F" w:rsidRDefault="00A93C4F" w:rsidP="00A93C4F">
      <w:pPr>
        <w:ind w:firstLine="561"/>
        <w:jc w:val="both"/>
        <w:rPr>
          <w:b/>
          <w:sz w:val="28"/>
          <w:szCs w:val="28"/>
        </w:rPr>
      </w:pPr>
      <w:r w:rsidRPr="00A93C4F">
        <w:rPr>
          <w:b/>
          <w:sz w:val="28"/>
          <w:szCs w:val="28"/>
        </w:rPr>
        <w:t>Legal Implications</w:t>
      </w:r>
    </w:p>
    <w:p w:rsidR="00A93C4F" w:rsidRPr="00A93C4F" w:rsidRDefault="00A93C4F" w:rsidP="00A93C4F">
      <w:pPr>
        <w:ind w:left="561" w:hanging="561"/>
        <w:jc w:val="both"/>
        <w:rPr>
          <w:rFonts w:cs="Arial"/>
        </w:rPr>
      </w:pPr>
      <w:r w:rsidRPr="00A93C4F">
        <w:rPr>
          <w:rFonts w:cs="Arial"/>
        </w:rPr>
        <w:tab/>
        <w:t>Schedule 7B of the Local Government Finance Act 1988, as amended, reserves the right for the Secretary of State to direct billing authorities to make calculations and supply information and in the absence of such a direction, to make regulations imposing similar requirement. For the year commencing on 1</w:t>
      </w:r>
      <w:r w:rsidRPr="00A93C4F">
        <w:rPr>
          <w:rFonts w:cs="Arial"/>
          <w:vertAlign w:val="superscript"/>
        </w:rPr>
        <w:t>st</w:t>
      </w:r>
      <w:r w:rsidRPr="00A93C4F">
        <w:rPr>
          <w:rFonts w:cs="Arial"/>
        </w:rPr>
        <w:t xml:space="preserve"> April 2020, regulations require that on or before 31 January in the preceding year, billing authorities must estimate the amount of NDR income, calculate the amount of the central share, calculate the amount for each </w:t>
      </w:r>
      <w:proofErr w:type="spellStart"/>
      <w:r w:rsidRPr="00A93C4F">
        <w:rPr>
          <w:rFonts w:cs="Arial"/>
        </w:rPr>
        <w:t>precepting</w:t>
      </w:r>
      <w:proofErr w:type="spellEnd"/>
      <w:r w:rsidRPr="00A93C4F">
        <w:rPr>
          <w:rFonts w:cs="Arial"/>
        </w:rPr>
        <w:t xml:space="preserve"> authority’s share, estimate the amount of qualifying relief and notify the Secretary of State and relevant </w:t>
      </w:r>
      <w:proofErr w:type="spellStart"/>
      <w:r w:rsidRPr="00A93C4F">
        <w:rPr>
          <w:rFonts w:cs="Arial"/>
        </w:rPr>
        <w:t>precepting</w:t>
      </w:r>
      <w:proofErr w:type="spellEnd"/>
      <w:r w:rsidRPr="00A93C4F">
        <w:rPr>
          <w:rFonts w:cs="Arial"/>
        </w:rPr>
        <w:t xml:space="preserve"> authority of these estimates or calculations. This will be done via a form known as NNDR1. The Government has set out the process for this in the Non Domestic Rating (Rates Retention) Regulations 2013. A delegation is also included to enable the Council's Chief Finance Officer (</w:t>
      </w:r>
      <w:r w:rsidR="00E66229">
        <w:rPr>
          <w:rFonts w:cs="Arial"/>
        </w:rPr>
        <w:t>S</w:t>
      </w:r>
      <w:r w:rsidRPr="00A93C4F">
        <w:rPr>
          <w:rFonts w:cs="Arial"/>
        </w:rPr>
        <w:t xml:space="preserve">ection 151 </w:t>
      </w:r>
      <w:r w:rsidR="00E66229">
        <w:rPr>
          <w:rFonts w:cs="Arial"/>
        </w:rPr>
        <w:t>O</w:t>
      </w:r>
      <w:r w:rsidRPr="00A93C4F">
        <w:rPr>
          <w:rFonts w:cs="Arial"/>
        </w:rPr>
        <w:t>fficer) to fulfil the notification requirements described above.</w:t>
      </w:r>
    </w:p>
    <w:p w:rsidR="00A93C4F" w:rsidRPr="00A93C4F" w:rsidRDefault="00A93C4F" w:rsidP="00A93C4F">
      <w:pPr>
        <w:ind w:left="561" w:hanging="561"/>
        <w:jc w:val="both"/>
        <w:rPr>
          <w:rFonts w:cs="Arial"/>
        </w:rPr>
      </w:pPr>
    </w:p>
    <w:p w:rsidR="00A93C4F" w:rsidRPr="00A93C4F" w:rsidRDefault="00A93C4F" w:rsidP="00A93C4F">
      <w:pPr>
        <w:ind w:left="567" w:hanging="567"/>
        <w:jc w:val="both"/>
        <w:rPr>
          <w:lang w:val="en" w:eastAsia="en-GB"/>
        </w:rPr>
      </w:pPr>
      <w:r w:rsidRPr="00A93C4F">
        <w:rPr>
          <w:rFonts w:cs="Arial"/>
        </w:rPr>
        <w:tab/>
      </w:r>
      <w:r w:rsidRPr="00A93C4F">
        <w:rPr>
          <w:lang w:val="en" w:eastAsia="en-GB"/>
        </w:rPr>
        <w:t xml:space="preserve">At present the regulations and legislation do not appear to require decisions to be taken at a particular level within the council.  In the absence of any specific statutory requirement as to decision making, it is necessary to take account of the Functions and Responsibilities Regulations 2000 which set out decisions which can and cannot be taken by the Executive.  </w:t>
      </w:r>
    </w:p>
    <w:p w:rsidR="00A93C4F" w:rsidRPr="00A93C4F" w:rsidRDefault="00A93C4F" w:rsidP="00A93C4F">
      <w:pPr>
        <w:ind w:left="567" w:hanging="567"/>
        <w:jc w:val="both"/>
        <w:rPr>
          <w:lang w:val="en" w:eastAsia="en-GB"/>
        </w:rPr>
      </w:pPr>
    </w:p>
    <w:p w:rsidR="00A93C4F" w:rsidRPr="00A93C4F" w:rsidRDefault="00A93C4F" w:rsidP="00A93C4F">
      <w:pPr>
        <w:ind w:left="567" w:hanging="567"/>
        <w:jc w:val="both"/>
        <w:rPr>
          <w:rFonts w:cs="Arial"/>
          <w:color w:val="000000"/>
          <w:szCs w:val="24"/>
          <w:lang w:val="en" w:eastAsia="en-GB"/>
        </w:rPr>
      </w:pPr>
      <w:r w:rsidRPr="00A93C4F">
        <w:rPr>
          <w:lang w:val="en" w:eastAsia="en-GB"/>
        </w:rPr>
        <w:tab/>
        <w:t xml:space="preserve">Under the Council's constitution, approving the budget (including setting the Council Tax) is reserved to full Council. Budget is defined as </w:t>
      </w:r>
      <w:r w:rsidRPr="00A93C4F">
        <w:rPr>
          <w:lang w:val="en" w:eastAsia="en-GB"/>
        </w:rPr>
        <w:lastRenderedPageBreak/>
        <w:t xml:space="preserve">allocation of financial resources to different services and projects, proposed contingency funds, setting the council tax including decisions relating to the control of the Council's borrowing requirement, the determination and control of its </w:t>
      </w:r>
      <w:proofErr w:type="gramStart"/>
      <w:r w:rsidRPr="00A93C4F">
        <w:rPr>
          <w:lang w:val="en" w:eastAsia="en-GB"/>
        </w:rPr>
        <w:t>capital  expenditure</w:t>
      </w:r>
      <w:proofErr w:type="gramEnd"/>
      <w:r w:rsidRPr="00A93C4F">
        <w:rPr>
          <w:lang w:val="en" w:eastAsia="en-GB"/>
        </w:rPr>
        <w:t xml:space="preserve">  and the setting of </w:t>
      </w:r>
      <w:proofErr w:type="spellStart"/>
      <w:r w:rsidRPr="00A93C4F">
        <w:rPr>
          <w:lang w:val="en" w:eastAsia="en-GB"/>
        </w:rPr>
        <w:t>virement</w:t>
      </w:r>
      <w:proofErr w:type="spellEnd"/>
      <w:r w:rsidRPr="00A93C4F">
        <w:rPr>
          <w:lang w:val="en" w:eastAsia="en-GB"/>
        </w:rPr>
        <w:t xml:space="preserve"> limits. Calculating the business rates estimates is not part of this overall budget approval, although the estimate used will be taken into account when considering the Council's financial position.  It is appropriate for this decision to be taken by Cabinet in the same way as the council tax base is a Cabinet decision.</w:t>
      </w:r>
    </w:p>
    <w:p w:rsidR="00A93C4F" w:rsidRPr="00A93C4F" w:rsidRDefault="00A93C4F" w:rsidP="00A93C4F">
      <w:pPr>
        <w:jc w:val="both"/>
        <w:rPr>
          <w:rFonts w:cs="Arial"/>
          <w:color w:val="000000"/>
          <w:szCs w:val="24"/>
          <w:lang w:val="en" w:eastAsia="en-GB"/>
        </w:rPr>
      </w:pPr>
    </w:p>
    <w:p w:rsidR="00A93C4F" w:rsidRPr="00A93C4F" w:rsidRDefault="00A93C4F" w:rsidP="00A93C4F">
      <w:pPr>
        <w:ind w:left="567" w:hanging="567"/>
        <w:jc w:val="both"/>
        <w:rPr>
          <w:rFonts w:cs="Arial"/>
          <w:color w:val="000000"/>
          <w:szCs w:val="24"/>
          <w:lang w:val="en" w:eastAsia="en-GB"/>
        </w:rPr>
      </w:pPr>
      <w:r w:rsidRPr="00A93C4F">
        <w:rPr>
          <w:rFonts w:cs="Arial"/>
          <w:color w:val="000000"/>
          <w:szCs w:val="24"/>
          <w:lang w:val="en" w:eastAsia="en-GB"/>
        </w:rPr>
        <w:tab/>
        <w:t>Article 13 of the Council’s Constitution states a key decision is an executive decision which:</w:t>
      </w:r>
    </w:p>
    <w:p w:rsidR="00A93C4F" w:rsidRPr="00A93C4F" w:rsidRDefault="00A93C4F" w:rsidP="00A93C4F">
      <w:pPr>
        <w:ind w:left="1440" w:hanging="648"/>
        <w:jc w:val="both"/>
        <w:rPr>
          <w:rFonts w:cs="Arial"/>
          <w:color w:val="000000"/>
          <w:szCs w:val="24"/>
          <w:lang w:val="en" w:eastAsia="en-GB"/>
        </w:rPr>
      </w:pPr>
      <w:r w:rsidRPr="00A93C4F">
        <w:rPr>
          <w:rFonts w:cs="Arial"/>
          <w:color w:val="000000"/>
          <w:szCs w:val="24"/>
          <w:lang w:val="en" w:eastAsia="en-GB"/>
        </w:rPr>
        <w:t xml:space="preserve">(i) </w:t>
      </w:r>
      <w:r w:rsidRPr="00A93C4F">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rsidR="00A93C4F" w:rsidRPr="00A93C4F" w:rsidRDefault="00A93C4F" w:rsidP="00A93C4F">
      <w:pPr>
        <w:ind w:left="1440" w:hanging="720"/>
        <w:jc w:val="both"/>
        <w:rPr>
          <w:rFonts w:cs="Arial"/>
          <w:color w:val="000000"/>
          <w:szCs w:val="24"/>
          <w:lang w:val="en" w:eastAsia="en-GB"/>
        </w:rPr>
      </w:pPr>
      <w:r w:rsidRPr="00A93C4F">
        <w:rPr>
          <w:rFonts w:cs="Arial"/>
          <w:color w:val="000000"/>
          <w:szCs w:val="24"/>
          <w:lang w:val="en" w:eastAsia="en-GB"/>
        </w:rPr>
        <w:t>(</w:t>
      </w:r>
      <w:proofErr w:type="gramStart"/>
      <w:r w:rsidRPr="00A93C4F">
        <w:rPr>
          <w:rFonts w:cs="Arial"/>
          <w:color w:val="000000"/>
          <w:szCs w:val="24"/>
          <w:lang w:val="en" w:eastAsia="en-GB"/>
        </w:rPr>
        <w:t>ii</w:t>
      </w:r>
      <w:proofErr w:type="gramEnd"/>
      <w:r w:rsidRPr="00A93C4F">
        <w:rPr>
          <w:rFonts w:cs="Arial"/>
          <w:color w:val="000000"/>
          <w:szCs w:val="24"/>
          <w:lang w:val="en" w:eastAsia="en-GB"/>
        </w:rPr>
        <w:t xml:space="preserve">) </w:t>
      </w:r>
      <w:r w:rsidRPr="00A93C4F">
        <w:rPr>
          <w:rFonts w:cs="Arial"/>
          <w:color w:val="000000"/>
          <w:szCs w:val="24"/>
          <w:lang w:val="en" w:eastAsia="en-GB"/>
        </w:rPr>
        <w:tab/>
        <w:t xml:space="preserve">is likely to be significant in terms of its effects on communities living or working in an area of two or more wards of the Borough. </w:t>
      </w:r>
    </w:p>
    <w:p w:rsidR="00A93C4F" w:rsidRPr="00A93C4F" w:rsidRDefault="00A93C4F" w:rsidP="00A93C4F">
      <w:pPr>
        <w:jc w:val="both"/>
        <w:rPr>
          <w:rFonts w:cs="Arial"/>
          <w:color w:val="000000"/>
          <w:szCs w:val="24"/>
          <w:lang w:val="en" w:eastAsia="en-GB"/>
        </w:rPr>
      </w:pPr>
    </w:p>
    <w:p w:rsidR="00A93C4F" w:rsidRPr="00A93C4F" w:rsidRDefault="00A93C4F" w:rsidP="00A93C4F">
      <w:pPr>
        <w:ind w:left="720"/>
        <w:jc w:val="both"/>
        <w:rPr>
          <w:rFonts w:cs="Arial"/>
          <w:color w:val="000000"/>
          <w:szCs w:val="24"/>
          <w:lang w:val="en" w:eastAsia="en-GB"/>
        </w:rPr>
      </w:pPr>
      <w:r w:rsidRPr="00A93C4F">
        <w:rPr>
          <w:rFonts w:cs="Arial"/>
          <w:color w:val="000000"/>
          <w:szCs w:val="24"/>
          <w:lang w:val="en" w:eastAsia="en-GB"/>
        </w:rPr>
        <w:t>A decision is significant for the purposes of (i)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rsidR="00A93C4F" w:rsidRPr="00A93C4F" w:rsidRDefault="00A93C4F" w:rsidP="00A93C4F">
      <w:pPr>
        <w:jc w:val="both"/>
        <w:rPr>
          <w:rFonts w:cs="Arial"/>
          <w:color w:val="000000"/>
          <w:szCs w:val="24"/>
          <w:lang w:val="en" w:eastAsia="en-GB"/>
        </w:rPr>
      </w:pPr>
    </w:p>
    <w:p w:rsidR="00A93C4F" w:rsidRPr="00A93C4F" w:rsidRDefault="00A93C4F" w:rsidP="00A93C4F">
      <w:pPr>
        <w:ind w:firstLine="561"/>
        <w:outlineLvl w:val="1"/>
        <w:rPr>
          <w:rFonts w:cs="Arial"/>
          <w:b/>
          <w:bCs/>
          <w:sz w:val="28"/>
          <w:szCs w:val="32"/>
        </w:rPr>
      </w:pPr>
      <w:r w:rsidRPr="00A93C4F">
        <w:rPr>
          <w:rFonts w:cs="Arial"/>
          <w:b/>
          <w:bCs/>
          <w:sz w:val="28"/>
          <w:szCs w:val="32"/>
        </w:rPr>
        <w:t>Financial Implications</w:t>
      </w:r>
    </w:p>
    <w:p w:rsidR="00A93C4F" w:rsidRPr="00A93C4F" w:rsidRDefault="00A93C4F" w:rsidP="00A93C4F">
      <w:pPr>
        <w:ind w:left="561"/>
        <w:jc w:val="both"/>
        <w:rPr>
          <w:rFonts w:cs="Arial"/>
          <w:szCs w:val="24"/>
          <w:lang w:eastAsia="en-GB"/>
        </w:rPr>
      </w:pPr>
      <w:r w:rsidRPr="00A93C4F">
        <w:rPr>
          <w:rFonts w:cs="Arial"/>
          <w:szCs w:val="24"/>
          <w:lang w:eastAsia="en-GB"/>
        </w:rPr>
        <w:t xml:space="preserve">Section 31B of the Act requires the local authority to set a council tax sufficient to meet its expenditure taking into account other sources of income such as government grants and non-domestic rates. The business rate outturn has a direct bearing on the Council’s budget and the Council Tax set for 2020-2021. The approval of the business rates yield is therefore an important element in ensuring the Council meets its statutory duty to balance its budgets. </w:t>
      </w:r>
    </w:p>
    <w:p w:rsidR="00A93C4F" w:rsidRPr="00A93C4F" w:rsidRDefault="00A93C4F" w:rsidP="00A93C4F">
      <w:pPr>
        <w:ind w:left="561"/>
        <w:jc w:val="both"/>
        <w:rPr>
          <w:rFonts w:cs="Arial"/>
          <w:szCs w:val="24"/>
          <w:lang w:eastAsia="en-GB"/>
        </w:rPr>
      </w:pPr>
    </w:p>
    <w:p w:rsidR="00A93C4F" w:rsidRPr="00A93C4F" w:rsidRDefault="00A93C4F" w:rsidP="00A93C4F">
      <w:pPr>
        <w:ind w:left="561"/>
        <w:jc w:val="both"/>
        <w:rPr>
          <w:rFonts w:cs="Arial"/>
          <w:szCs w:val="24"/>
        </w:rPr>
      </w:pPr>
      <w:r w:rsidRPr="00A93C4F">
        <w:rPr>
          <w:rFonts w:cs="Arial"/>
          <w:szCs w:val="24"/>
        </w:rPr>
        <w:t xml:space="preserve">The retained amount for Harrow regarding Business Rates has been determined to be </w:t>
      </w:r>
      <w:r w:rsidRPr="00A93C4F">
        <w:rPr>
          <w:rFonts w:cs="Arial"/>
          <w:b/>
          <w:color w:val="FF0000"/>
          <w:szCs w:val="24"/>
        </w:rPr>
        <w:t xml:space="preserve">£14.942m, </w:t>
      </w:r>
      <w:r w:rsidRPr="00A93C4F">
        <w:rPr>
          <w:rFonts w:cs="Arial"/>
          <w:szCs w:val="24"/>
        </w:rPr>
        <w:t>which is 30% of the estimated business rates to be retained. This amount will be reflected in the Council’s Final Revenue Budget for 2020-21.</w:t>
      </w:r>
    </w:p>
    <w:p w:rsidR="00A93C4F" w:rsidRPr="00A93C4F" w:rsidRDefault="00A93C4F" w:rsidP="00A93C4F">
      <w:pPr>
        <w:ind w:left="561"/>
        <w:jc w:val="both"/>
        <w:rPr>
          <w:rFonts w:cs="Arial"/>
          <w:szCs w:val="24"/>
          <w:lang w:eastAsia="en-GB"/>
        </w:rPr>
      </w:pPr>
    </w:p>
    <w:p w:rsidR="00A93C4F" w:rsidRPr="00A93C4F" w:rsidRDefault="00A93C4F" w:rsidP="00A93C4F">
      <w:pPr>
        <w:ind w:firstLine="561"/>
        <w:jc w:val="both"/>
        <w:outlineLvl w:val="1"/>
        <w:rPr>
          <w:rFonts w:cs="Arial"/>
          <w:b/>
          <w:bCs/>
          <w:sz w:val="28"/>
          <w:szCs w:val="32"/>
        </w:rPr>
      </w:pPr>
      <w:r w:rsidRPr="00A93C4F">
        <w:rPr>
          <w:rFonts w:cs="Arial"/>
          <w:b/>
          <w:bCs/>
          <w:sz w:val="28"/>
          <w:szCs w:val="32"/>
        </w:rPr>
        <w:t>Performance Issues</w:t>
      </w:r>
    </w:p>
    <w:p w:rsidR="00A93C4F" w:rsidRPr="00A93C4F" w:rsidRDefault="00A93C4F" w:rsidP="00A93C4F">
      <w:pPr>
        <w:ind w:left="561"/>
        <w:jc w:val="both"/>
      </w:pPr>
      <w:r w:rsidRPr="00A93C4F">
        <w:t xml:space="preserve">The estimated NDR income figures above will become the actual NDR income for 2020/21, and will be used in setting the 2020/21 budget. The </w:t>
      </w:r>
      <w:r w:rsidRPr="00A93C4F">
        <w:rPr>
          <w:u w:val="single"/>
        </w:rPr>
        <w:t>actual</w:t>
      </w:r>
      <w:r w:rsidRPr="00A93C4F">
        <w:t xml:space="preserve"> NDR income received will not actually be available to the authority as it will go directly into the collection fund. At the end of the year any surplus or deficit in the collection fund will be taken into account as part of future year’s rate retention calculations. Any risk will therefore be borne, in the first instance, by the collection fund rather than the general fund.</w:t>
      </w:r>
    </w:p>
    <w:p w:rsidR="00A93C4F" w:rsidRPr="00A93C4F" w:rsidRDefault="00A93C4F" w:rsidP="00A93C4F">
      <w:pPr>
        <w:ind w:left="561"/>
        <w:jc w:val="both"/>
      </w:pPr>
    </w:p>
    <w:p w:rsidR="00A93C4F" w:rsidRPr="00A93C4F" w:rsidRDefault="00A93C4F" w:rsidP="00A93C4F">
      <w:pPr>
        <w:ind w:left="561" w:hanging="561"/>
        <w:rPr>
          <w:b/>
          <w:sz w:val="28"/>
          <w:szCs w:val="28"/>
        </w:rPr>
      </w:pPr>
      <w:r w:rsidRPr="00A93C4F">
        <w:rPr>
          <w:b/>
          <w:sz w:val="28"/>
          <w:szCs w:val="28"/>
        </w:rPr>
        <w:t xml:space="preserve"> </w:t>
      </w:r>
      <w:r w:rsidRPr="00A93C4F">
        <w:rPr>
          <w:b/>
          <w:sz w:val="28"/>
          <w:szCs w:val="28"/>
        </w:rPr>
        <w:tab/>
      </w:r>
    </w:p>
    <w:p w:rsidR="00A93C4F" w:rsidRPr="00A93C4F" w:rsidRDefault="00A93C4F" w:rsidP="00A93C4F">
      <w:pPr>
        <w:ind w:left="561"/>
        <w:rPr>
          <w:b/>
          <w:sz w:val="28"/>
          <w:szCs w:val="28"/>
        </w:rPr>
      </w:pPr>
      <w:r w:rsidRPr="00A93C4F">
        <w:rPr>
          <w:b/>
          <w:sz w:val="28"/>
          <w:szCs w:val="28"/>
        </w:rPr>
        <w:lastRenderedPageBreak/>
        <w:t>Environmental Impact</w:t>
      </w:r>
    </w:p>
    <w:p w:rsidR="00A93C4F" w:rsidRPr="00A93C4F" w:rsidRDefault="00A93C4F" w:rsidP="00A93C4F">
      <w:pPr>
        <w:ind w:left="561"/>
      </w:pPr>
      <w:r w:rsidRPr="00A93C4F">
        <w:t>None</w:t>
      </w:r>
    </w:p>
    <w:p w:rsidR="00A93C4F" w:rsidRPr="00A93C4F" w:rsidRDefault="00A93C4F" w:rsidP="00A93C4F">
      <w:pPr>
        <w:ind w:left="561" w:hanging="561"/>
      </w:pPr>
    </w:p>
    <w:p w:rsidR="00A93C4F" w:rsidRPr="00A93C4F" w:rsidRDefault="00A93C4F" w:rsidP="00A93C4F">
      <w:pPr>
        <w:ind w:left="561" w:hanging="561"/>
        <w:rPr>
          <w:b/>
          <w:sz w:val="28"/>
          <w:szCs w:val="28"/>
        </w:rPr>
      </w:pPr>
      <w:r w:rsidRPr="00A93C4F">
        <w:rPr>
          <w:b/>
          <w:sz w:val="28"/>
          <w:szCs w:val="28"/>
        </w:rPr>
        <w:t xml:space="preserve"> </w:t>
      </w:r>
      <w:r w:rsidRPr="00A93C4F">
        <w:rPr>
          <w:b/>
          <w:sz w:val="28"/>
          <w:szCs w:val="28"/>
        </w:rPr>
        <w:tab/>
        <w:t>Risk Management Implications</w:t>
      </w:r>
    </w:p>
    <w:p w:rsidR="00A93C4F" w:rsidRPr="00A93C4F" w:rsidRDefault="00A93C4F" w:rsidP="00A93C4F">
      <w:pPr>
        <w:ind w:left="561"/>
        <w:jc w:val="both"/>
        <w:rPr>
          <w:rFonts w:cs="Arial"/>
        </w:rPr>
      </w:pPr>
      <w:r w:rsidRPr="00A93C4F">
        <w:rPr>
          <w:rFonts w:cs="Arial"/>
        </w:rPr>
        <w:t xml:space="preserve">The authority needs certainty regarding the volatility in the rating list, however this cannot be guaranteed </w:t>
      </w:r>
    </w:p>
    <w:p w:rsidR="00A93C4F" w:rsidRPr="00A93C4F" w:rsidRDefault="00A93C4F" w:rsidP="00A93C4F">
      <w:pPr>
        <w:ind w:left="561"/>
        <w:jc w:val="both"/>
        <w:rPr>
          <w:rFonts w:cs="Arial"/>
        </w:rPr>
      </w:pPr>
    </w:p>
    <w:p w:rsidR="00A93C4F" w:rsidRPr="00A93C4F" w:rsidRDefault="00A93C4F" w:rsidP="00A93C4F">
      <w:pPr>
        <w:numPr>
          <w:ilvl w:val="0"/>
          <w:numId w:val="10"/>
        </w:numPr>
        <w:jc w:val="both"/>
        <w:rPr>
          <w:rFonts w:cs="Arial"/>
        </w:rPr>
      </w:pPr>
      <w:r w:rsidRPr="00A93C4F">
        <w:rPr>
          <w:rFonts w:cs="Arial"/>
        </w:rPr>
        <w:t xml:space="preserve">As specific levels of Appeals cannot be anticipated, </w:t>
      </w:r>
    </w:p>
    <w:p w:rsidR="00A93C4F" w:rsidRPr="00A93C4F" w:rsidRDefault="00A93C4F" w:rsidP="00A93C4F">
      <w:pPr>
        <w:numPr>
          <w:ilvl w:val="0"/>
          <w:numId w:val="10"/>
        </w:numPr>
        <w:jc w:val="both"/>
        <w:rPr>
          <w:rFonts w:cs="Arial"/>
        </w:rPr>
      </w:pPr>
      <w:r w:rsidRPr="00A93C4F">
        <w:rPr>
          <w:rFonts w:cs="Arial"/>
        </w:rPr>
        <w:t>Property demolitions may occur which were not anticipated,</w:t>
      </w:r>
    </w:p>
    <w:p w:rsidR="00A93C4F" w:rsidRPr="00A93C4F" w:rsidRDefault="00A93C4F" w:rsidP="00A93C4F">
      <w:pPr>
        <w:numPr>
          <w:ilvl w:val="0"/>
          <w:numId w:val="10"/>
        </w:numPr>
        <w:jc w:val="both"/>
        <w:rPr>
          <w:rFonts w:cs="Arial"/>
        </w:rPr>
      </w:pPr>
      <w:r w:rsidRPr="00A93C4F">
        <w:rPr>
          <w:rFonts w:cs="Arial"/>
        </w:rPr>
        <w:t>There may be Valuation Officer review of assessments which give rise to reductions in rateable value,</w:t>
      </w:r>
    </w:p>
    <w:p w:rsidR="00A93C4F" w:rsidRPr="00A93C4F" w:rsidRDefault="00A93C4F" w:rsidP="00A93C4F">
      <w:pPr>
        <w:numPr>
          <w:ilvl w:val="0"/>
          <w:numId w:val="10"/>
        </w:numPr>
        <w:jc w:val="both"/>
        <w:rPr>
          <w:rFonts w:cs="Arial"/>
        </w:rPr>
      </w:pPr>
      <w:r w:rsidRPr="00A93C4F">
        <w:rPr>
          <w:rFonts w:cs="Arial"/>
        </w:rPr>
        <w:t>Substantial backdated RV reductions may occur which were not anticipated,</w:t>
      </w:r>
    </w:p>
    <w:p w:rsidR="00A93C4F" w:rsidRPr="00A93C4F" w:rsidRDefault="00A93C4F" w:rsidP="00A93C4F">
      <w:pPr>
        <w:numPr>
          <w:ilvl w:val="0"/>
          <w:numId w:val="10"/>
        </w:numPr>
        <w:jc w:val="both"/>
        <w:rPr>
          <w:rFonts w:cs="Arial"/>
        </w:rPr>
      </w:pPr>
      <w:r w:rsidRPr="00A93C4F">
        <w:rPr>
          <w:rFonts w:cs="Arial"/>
        </w:rPr>
        <w:t>Rating is “reactive”; appeals served now may not be considered and resolved for a number of years,</w:t>
      </w:r>
    </w:p>
    <w:p w:rsidR="00A93C4F" w:rsidRPr="00A93C4F" w:rsidRDefault="00A93C4F" w:rsidP="00A93C4F">
      <w:pPr>
        <w:numPr>
          <w:ilvl w:val="0"/>
          <w:numId w:val="10"/>
        </w:numPr>
        <w:jc w:val="both"/>
        <w:rPr>
          <w:rFonts w:cs="Arial"/>
        </w:rPr>
      </w:pPr>
      <w:r w:rsidRPr="00A93C4F">
        <w:rPr>
          <w:rFonts w:cs="Arial"/>
        </w:rPr>
        <w:t xml:space="preserve">Large hereditaments could have a disproportionate effect on Harrow, for example, heavy industrial plants </w:t>
      </w:r>
      <w:proofErr w:type="spellStart"/>
      <w:r w:rsidRPr="00A93C4F">
        <w:rPr>
          <w:rFonts w:cs="Arial"/>
        </w:rPr>
        <w:t>etc</w:t>
      </w:r>
      <w:proofErr w:type="spellEnd"/>
      <w:r w:rsidRPr="00A93C4F">
        <w:rPr>
          <w:rFonts w:cs="Arial"/>
        </w:rPr>
        <w:t>, whose assessments may be challenged on multiple occasions through the life of the Rating List.</w:t>
      </w:r>
    </w:p>
    <w:p w:rsidR="00A93C4F" w:rsidRPr="00A93C4F" w:rsidRDefault="00A93C4F" w:rsidP="00A93C4F">
      <w:pPr>
        <w:ind w:left="561"/>
        <w:jc w:val="both"/>
        <w:rPr>
          <w:rFonts w:cs="Arial"/>
        </w:rPr>
      </w:pPr>
    </w:p>
    <w:p w:rsidR="00A93C4F" w:rsidRPr="00A93C4F" w:rsidRDefault="00A93C4F" w:rsidP="00A93C4F">
      <w:pPr>
        <w:ind w:left="561"/>
        <w:jc w:val="both"/>
        <w:rPr>
          <w:rFonts w:cs="Arial"/>
        </w:rPr>
      </w:pPr>
      <w:r w:rsidRPr="00A93C4F">
        <w:rPr>
          <w:rFonts w:cs="Arial"/>
        </w:rPr>
        <w:tab/>
        <w:t xml:space="preserve">Apart from the above, other matters that may affect the bottom line </w:t>
      </w:r>
      <w:r w:rsidRPr="00A93C4F">
        <w:rPr>
          <w:rFonts w:cs="Arial"/>
        </w:rPr>
        <w:tab/>
        <w:t>business rates income are;</w:t>
      </w:r>
    </w:p>
    <w:p w:rsidR="00A93C4F" w:rsidRPr="00A93C4F" w:rsidRDefault="00A93C4F" w:rsidP="00A93C4F">
      <w:pPr>
        <w:numPr>
          <w:ilvl w:val="0"/>
          <w:numId w:val="11"/>
        </w:numPr>
        <w:jc w:val="both"/>
        <w:rPr>
          <w:rFonts w:cs="Arial"/>
        </w:rPr>
      </w:pPr>
      <w:r w:rsidRPr="00A93C4F">
        <w:rPr>
          <w:rFonts w:cs="Arial"/>
        </w:rPr>
        <w:t>Losses on collection</w:t>
      </w:r>
    </w:p>
    <w:p w:rsidR="00A93C4F" w:rsidRPr="00A93C4F" w:rsidRDefault="00A93C4F" w:rsidP="00A93C4F">
      <w:pPr>
        <w:numPr>
          <w:ilvl w:val="0"/>
          <w:numId w:val="11"/>
        </w:numPr>
        <w:jc w:val="both"/>
        <w:rPr>
          <w:rFonts w:cs="Arial"/>
        </w:rPr>
      </w:pPr>
      <w:r w:rsidRPr="00A93C4F">
        <w:rPr>
          <w:rFonts w:cs="Arial"/>
        </w:rPr>
        <w:t>Discretionary Rate Relief “top ups”</w:t>
      </w:r>
    </w:p>
    <w:p w:rsidR="00A93C4F" w:rsidRPr="00A93C4F" w:rsidRDefault="00A93C4F" w:rsidP="00A93C4F">
      <w:pPr>
        <w:numPr>
          <w:ilvl w:val="0"/>
          <w:numId w:val="11"/>
        </w:numPr>
        <w:jc w:val="both"/>
        <w:rPr>
          <w:rFonts w:cs="Arial"/>
        </w:rPr>
      </w:pPr>
      <w:r w:rsidRPr="00A93C4F">
        <w:rPr>
          <w:rFonts w:cs="Arial"/>
        </w:rPr>
        <w:t>Discretionary Section 44a relief</w:t>
      </w:r>
    </w:p>
    <w:p w:rsidR="00A93C4F" w:rsidRPr="00A93C4F" w:rsidRDefault="00A93C4F" w:rsidP="00A93C4F">
      <w:pPr>
        <w:numPr>
          <w:ilvl w:val="0"/>
          <w:numId w:val="11"/>
        </w:numPr>
        <w:jc w:val="both"/>
        <w:rPr>
          <w:rFonts w:cs="Arial"/>
        </w:rPr>
      </w:pPr>
      <w:r w:rsidRPr="00A93C4F">
        <w:rPr>
          <w:rFonts w:cs="Arial"/>
        </w:rPr>
        <w:t>Charitable Trusts</w:t>
      </w:r>
    </w:p>
    <w:p w:rsidR="00A93C4F" w:rsidRPr="00A93C4F" w:rsidRDefault="00A93C4F" w:rsidP="00A93C4F">
      <w:pPr>
        <w:numPr>
          <w:ilvl w:val="0"/>
          <w:numId w:val="11"/>
        </w:numPr>
        <w:jc w:val="both"/>
        <w:rPr>
          <w:rFonts w:cs="Arial"/>
        </w:rPr>
      </w:pPr>
      <w:r w:rsidRPr="00A93C4F">
        <w:rPr>
          <w:rFonts w:cs="Arial"/>
        </w:rPr>
        <w:t>Rate audit and appeals by Harrow against property in its own portfolio</w:t>
      </w:r>
    </w:p>
    <w:p w:rsidR="00A93C4F" w:rsidRPr="00A93C4F" w:rsidRDefault="00A93C4F" w:rsidP="00A93C4F">
      <w:pPr>
        <w:numPr>
          <w:ilvl w:val="0"/>
          <w:numId w:val="11"/>
        </w:numPr>
        <w:jc w:val="both"/>
        <w:rPr>
          <w:rFonts w:cs="Arial"/>
        </w:rPr>
      </w:pPr>
      <w:r w:rsidRPr="00A93C4F">
        <w:rPr>
          <w:rFonts w:cs="Arial"/>
        </w:rPr>
        <w:t xml:space="preserve">The </w:t>
      </w:r>
      <w:proofErr w:type="gramStart"/>
      <w:r w:rsidRPr="00A93C4F">
        <w:rPr>
          <w:rFonts w:cs="Arial"/>
        </w:rPr>
        <w:t>issuing,</w:t>
      </w:r>
      <w:proofErr w:type="gramEnd"/>
      <w:r w:rsidRPr="00A93C4F">
        <w:rPr>
          <w:rFonts w:cs="Arial"/>
        </w:rPr>
        <w:t xml:space="preserve"> or lack of issuing, completion notices. </w:t>
      </w:r>
    </w:p>
    <w:p w:rsidR="00A93C4F" w:rsidRPr="00A93C4F" w:rsidRDefault="00A93C4F" w:rsidP="00A93C4F">
      <w:pPr>
        <w:ind w:left="1281"/>
        <w:jc w:val="both"/>
        <w:rPr>
          <w:rFonts w:cs="Arial"/>
        </w:rPr>
      </w:pPr>
    </w:p>
    <w:p w:rsidR="0026024D" w:rsidRDefault="0026024D" w:rsidP="00A93C4F">
      <w:pPr>
        <w:keepNext/>
        <w:ind w:firstLine="561"/>
        <w:outlineLvl w:val="1"/>
        <w:rPr>
          <w:rFonts w:cs="Arial"/>
          <w:b/>
          <w:bCs/>
          <w:sz w:val="28"/>
          <w:szCs w:val="32"/>
        </w:rPr>
      </w:pPr>
    </w:p>
    <w:p w:rsidR="00A93C4F" w:rsidRPr="00A93C4F" w:rsidRDefault="00A93C4F" w:rsidP="00A93C4F">
      <w:pPr>
        <w:keepNext/>
        <w:ind w:firstLine="561"/>
        <w:outlineLvl w:val="1"/>
        <w:rPr>
          <w:rFonts w:cs="Arial"/>
          <w:b/>
          <w:bCs/>
          <w:sz w:val="28"/>
          <w:szCs w:val="32"/>
        </w:rPr>
      </w:pPr>
      <w:r w:rsidRPr="00A93C4F">
        <w:rPr>
          <w:rFonts w:cs="Arial"/>
          <w:b/>
          <w:bCs/>
          <w:sz w:val="28"/>
          <w:szCs w:val="32"/>
        </w:rPr>
        <w:t>Equalities implications</w:t>
      </w:r>
    </w:p>
    <w:p w:rsidR="00A93C4F" w:rsidRPr="00A93C4F" w:rsidRDefault="00A93C4F" w:rsidP="00A93C4F">
      <w:pPr>
        <w:keepNext/>
        <w:ind w:left="561"/>
      </w:pPr>
      <w:r w:rsidRPr="00A93C4F">
        <w:t>None</w:t>
      </w:r>
    </w:p>
    <w:p w:rsidR="00A93C4F" w:rsidRPr="00A93C4F" w:rsidRDefault="00A93C4F" w:rsidP="00A93C4F">
      <w:pPr>
        <w:ind w:left="561" w:hanging="561"/>
        <w:rPr>
          <w:b/>
          <w:sz w:val="28"/>
          <w:szCs w:val="28"/>
        </w:rPr>
      </w:pPr>
    </w:p>
    <w:p w:rsidR="00A93C4F" w:rsidRPr="00A93C4F" w:rsidRDefault="00A93C4F" w:rsidP="00A93C4F">
      <w:pPr>
        <w:ind w:left="561"/>
      </w:pPr>
      <w:r w:rsidRPr="00A93C4F">
        <w:rPr>
          <w:b/>
          <w:sz w:val="28"/>
          <w:szCs w:val="28"/>
        </w:rPr>
        <w:t>Corporate Priorities</w:t>
      </w:r>
    </w:p>
    <w:p w:rsidR="00A93C4F" w:rsidRPr="00A93C4F" w:rsidRDefault="00A93C4F" w:rsidP="00A93C4F">
      <w:pPr>
        <w:ind w:left="561"/>
        <w:jc w:val="both"/>
      </w:pPr>
      <w:r w:rsidRPr="00A93C4F">
        <w:t xml:space="preserve">The Business Rates Baseline allows the Council to </w:t>
      </w:r>
      <w:proofErr w:type="gramStart"/>
      <w:r w:rsidRPr="00A93C4F">
        <w:t>raise</w:t>
      </w:r>
      <w:proofErr w:type="gramEnd"/>
      <w:r w:rsidRPr="00A93C4F">
        <w:t xml:space="preserve"> local funding which is fundamental in supporting all corporate priorities as Business Rates Retention is a key element of the Council’s overall budget.</w:t>
      </w:r>
    </w:p>
    <w:p w:rsidR="00A93C4F" w:rsidRPr="00A93C4F" w:rsidRDefault="00A93C4F" w:rsidP="00A93C4F"/>
    <w:p w:rsidR="0026024D" w:rsidRDefault="0026024D" w:rsidP="0026024D"/>
    <w:p w:rsidR="000516A3" w:rsidRDefault="000516A3" w:rsidP="002D0E5E">
      <w:pPr>
        <w:pStyle w:val="Heading1"/>
        <w:keepNext/>
      </w:pPr>
    </w:p>
    <w:p w:rsidR="007D2000" w:rsidRPr="002D0E5E" w:rsidRDefault="00333FAA" w:rsidP="002D0E5E">
      <w:pPr>
        <w:pStyle w:val="Heading1"/>
        <w:keepNext/>
      </w:pPr>
      <w:r>
        <w:t>Section 3 - Statutory Officer Clearance</w:t>
      </w:r>
    </w:p>
    <w:p w:rsidR="000516A3" w:rsidRDefault="000516A3" w:rsidP="00333FAA">
      <w:pPr>
        <w:keepNext/>
        <w:rPr>
          <w:rFonts w:cs="Arial"/>
        </w:rPr>
      </w:pPr>
    </w:p>
    <w:p w:rsidR="000516A3" w:rsidRDefault="000516A3"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383"/>
        <w:gridCol w:w="234"/>
        <w:gridCol w:w="3580"/>
      </w:tblGrid>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Name:</w:t>
            </w:r>
            <w:r w:rsidR="00DB6C3D">
              <w:t xml:space="preserve"> </w:t>
            </w:r>
            <w:r w:rsidR="00A20D78">
              <w:t xml:space="preserve"> </w:t>
            </w:r>
            <w:r w:rsidR="002D0E5E">
              <w:t>Sharon Daniels</w:t>
            </w:r>
          </w:p>
        </w:tc>
        <w:tc>
          <w:tcPr>
            <w:tcW w:w="387" w:type="dxa"/>
            <w:tcBorders>
              <w:bottom w:val="single" w:sz="4" w:space="0" w:color="auto"/>
            </w:tcBorders>
          </w:tcPr>
          <w:p w:rsidR="00333FAA" w:rsidRDefault="002D0E5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Chief Financial Officer</w:t>
            </w:r>
          </w:p>
        </w:tc>
      </w:tr>
      <w:tr w:rsidR="00333FAA">
        <w:tc>
          <w:tcPr>
            <w:tcW w:w="4752" w:type="dxa"/>
            <w:tcBorders>
              <w:top w:val="nil"/>
              <w:right w:val="nil"/>
            </w:tcBorders>
          </w:tcPr>
          <w:p w:rsidR="00333FAA" w:rsidRDefault="00333FAA" w:rsidP="00A53B04">
            <w:pPr>
              <w:pStyle w:val="Infotext"/>
            </w:pPr>
            <w:r>
              <w:t xml:space="preserve"> </w:t>
            </w:r>
          </w:p>
          <w:p w:rsidR="00333FAA" w:rsidRDefault="00333FAA" w:rsidP="00A20D78">
            <w:pPr>
              <w:pStyle w:val="Infotext"/>
            </w:pPr>
            <w:r>
              <w:t xml:space="preserve">Date: </w:t>
            </w:r>
            <w:r w:rsidR="00A20D78">
              <w:t xml:space="preserve"> </w:t>
            </w:r>
            <w:r w:rsidR="002D0E5E">
              <w:t>25 November 2019</w:t>
            </w:r>
          </w:p>
        </w:tc>
        <w:tc>
          <w:tcPr>
            <w:tcW w:w="387" w:type="dxa"/>
            <w:tcBorders>
              <w:left w:val="nil"/>
              <w:bottom w:val="single" w:sz="4" w:space="0" w:color="auto"/>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tc>
      </w:tr>
      <w:tr w:rsidR="00333FAA">
        <w:tc>
          <w:tcPr>
            <w:tcW w:w="4752" w:type="dxa"/>
            <w:tcBorders>
              <w:bottom w:val="nil"/>
              <w:right w:val="nil"/>
            </w:tcBorders>
          </w:tcPr>
          <w:p w:rsidR="00333FAA" w:rsidRDefault="00333FAA" w:rsidP="00A53B04">
            <w:pPr>
              <w:pStyle w:val="Infotext"/>
            </w:pPr>
          </w:p>
          <w:p w:rsidR="00333FAA" w:rsidRDefault="00333FAA" w:rsidP="00A53B04">
            <w:pPr>
              <w:pStyle w:val="Infotext"/>
            </w:pPr>
          </w:p>
        </w:tc>
        <w:tc>
          <w:tcPr>
            <w:tcW w:w="387" w:type="dxa"/>
            <w:tcBorders>
              <w:left w:val="nil"/>
              <w:right w:val="nil"/>
            </w:tcBorders>
          </w:tcPr>
          <w:p w:rsidR="00333FAA" w:rsidRDefault="00333FAA" w:rsidP="00A53B04">
            <w:pPr>
              <w:pStyle w:val="Infotext"/>
            </w:pPr>
          </w:p>
        </w:tc>
        <w:tc>
          <w:tcPr>
            <w:tcW w:w="236" w:type="dxa"/>
            <w:tcBorders>
              <w:left w:val="nil"/>
              <w:bottom w:val="nil"/>
              <w:right w:val="nil"/>
            </w:tcBorders>
          </w:tcPr>
          <w:p w:rsidR="00333FAA" w:rsidRDefault="00333FAA" w:rsidP="00A53B04">
            <w:pPr>
              <w:pStyle w:val="Infotext"/>
            </w:pPr>
          </w:p>
        </w:tc>
        <w:tc>
          <w:tcPr>
            <w:tcW w:w="3890" w:type="dxa"/>
            <w:tcBorders>
              <w:left w:val="nil"/>
              <w:bottom w:val="nil"/>
            </w:tcBorders>
          </w:tcPr>
          <w:p w:rsidR="00333FAA" w:rsidRDefault="00333FAA" w:rsidP="00A53B04">
            <w:pPr>
              <w:pStyle w:val="Infotext"/>
            </w:pPr>
          </w:p>
          <w:p w:rsidR="00333FAA" w:rsidRDefault="00333FAA" w:rsidP="00A53B04">
            <w:pPr>
              <w:pStyle w:val="Infotext"/>
            </w:pPr>
            <w:r>
              <w:t>on behalf of the</w:t>
            </w:r>
            <w:r w:rsidR="001966D7">
              <w:t xml:space="preserve"> *</w:t>
            </w:r>
          </w:p>
        </w:tc>
      </w:tr>
      <w:tr w:rsidR="00333FAA">
        <w:tc>
          <w:tcPr>
            <w:tcW w:w="4752" w:type="dxa"/>
            <w:tcBorders>
              <w:top w:val="nil"/>
              <w:bottom w:val="nil"/>
            </w:tcBorders>
          </w:tcPr>
          <w:p w:rsidR="00333FAA" w:rsidRDefault="00333FAA" w:rsidP="00A20D78">
            <w:pPr>
              <w:pStyle w:val="Infotext"/>
            </w:pPr>
            <w:r>
              <w:t xml:space="preserve">Name: </w:t>
            </w:r>
            <w:r w:rsidR="00A20D78">
              <w:t xml:space="preserve"> </w:t>
            </w:r>
            <w:proofErr w:type="spellStart"/>
            <w:r w:rsidR="002D0E5E">
              <w:t>Beljeet</w:t>
            </w:r>
            <w:proofErr w:type="spellEnd"/>
            <w:r w:rsidR="002D0E5E">
              <w:t xml:space="preserve"> </w:t>
            </w:r>
            <w:proofErr w:type="spellStart"/>
            <w:r w:rsidR="002D0E5E">
              <w:t>Virdee</w:t>
            </w:r>
            <w:proofErr w:type="spellEnd"/>
          </w:p>
        </w:tc>
        <w:tc>
          <w:tcPr>
            <w:tcW w:w="387" w:type="dxa"/>
            <w:tcBorders>
              <w:bottom w:val="single" w:sz="4" w:space="0" w:color="auto"/>
            </w:tcBorders>
          </w:tcPr>
          <w:p w:rsidR="00333FAA" w:rsidRDefault="002D0E5E" w:rsidP="00A53B04">
            <w:pPr>
              <w:pStyle w:val="Infotext"/>
            </w:pPr>
            <w:r>
              <w:t>x</w:t>
            </w:r>
          </w:p>
        </w:tc>
        <w:tc>
          <w:tcPr>
            <w:tcW w:w="236" w:type="dxa"/>
            <w:tcBorders>
              <w:top w:val="nil"/>
              <w:bottom w:val="nil"/>
              <w:right w:val="nil"/>
            </w:tcBorders>
          </w:tcPr>
          <w:p w:rsidR="00333FAA" w:rsidRDefault="00333FAA" w:rsidP="00A53B04">
            <w:pPr>
              <w:pStyle w:val="Infotext"/>
            </w:pPr>
          </w:p>
        </w:tc>
        <w:tc>
          <w:tcPr>
            <w:tcW w:w="3890" w:type="dxa"/>
            <w:tcBorders>
              <w:top w:val="nil"/>
              <w:left w:val="nil"/>
              <w:bottom w:val="nil"/>
            </w:tcBorders>
          </w:tcPr>
          <w:p w:rsidR="00333FAA" w:rsidRDefault="00333FAA" w:rsidP="00A53B04">
            <w:pPr>
              <w:pStyle w:val="Infotext"/>
            </w:pPr>
            <w:r>
              <w:t>Monitoring Officer</w:t>
            </w:r>
          </w:p>
        </w:tc>
      </w:tr>
      <w:tr w:rsidR="00333FAA">
        <w:tc>
          <w:tcPr>
            <w:tcW w:w="4752" w:type="dxa"/>
            <w:tcBorders>
              <w:top w:val="nil"/>
              <w:right w:val="nil"/>
            </w:tcBorders>
          </w:tcPr>
          <w:p w:rsidR="00333FAA" w:rsidRDefault="00333FAA" w:rsidP="00A53B04">
            <w:pPr>
              <w:pStyle w:val="Infotext"/>
            </w:pPr>
          </w:p>
          <w:p w:rsidR="00333FAA" w:rsidRDefault="00333FAA" w:rsidP="00A20D78">
            <w:pPr>
              <w:pStyle w:val="Infotext"/>
            </w:pPr>
            <w:r>
              <w:t xml:space="preserve">Date: </w:t>
            </w:r>
            <w:r w:rsidR="00A20D78">
              <w:t xml:space="preserve"> </w:t>
            </w:r>
            <w:r w:rsidR="002D0E5E">
              <w:t>25 November 2019</w:t>
            </w:r>
          </w:p>
        </w:tc>
        <w:tc>
          <w:tcPr>
            <w:tcW w:w="387" w:type="dxa"/>
            <w:tcBorders>
              <w:left w:val="nil"/>
              <w:right w:val="nil"/>
            </w:tcBorders>
          </w:tcPr>
          <w:p w:rsidR="00333FAA" w:rsidRDefault="00333FAA" w:rsidP="00A53B04">
            <w:pPr>
              <w:pStyle w:val="Infotext"/>
            </w:pPr>
          </w:p>
        </w:tc>
        <w:tc>
          <w:tcPr>
            <w:tcW w:w="236" w:type="dxa"/>
            <w:tcBorders>
              <w:top w:val="nil"/>
              <w:left w:val="nil"/>
              <w:right w:val="nil"/>
            </w:tcBorders>
          </w:tcPr>
          <w:p w:rsidR="00333FAA" w:rsidRDefault="00333FAA" w:rsidP="00A53B04">
            <w:pPr>
              <w:pStyle w:val="Infotext"/>
            </w:pPr>
          </w:p>
        </w:tc>
        <w:tc>
          <w:tcPr>
            <w:tcW w:w="3890" w:type="dxa"/>
            <w:tcBorders>
              <w:top w:val="nil"/>
              <w:left w:val="nil"/>
            </w:tcBorders>
          </w:tcPr>
          <w:p w:rsidR="00333FAA" w:rsidRDefault="00333FAA" w:rsidP="00A53B04">
            <w:pPr>
              <w:pStyle w:val="Infotext"/>
            </w:pPr>
          </w:p>
          <w:p w:rsidR="00333FAA" w:rsidRDefault="00333FAA" w:rsidP="00A53B04">
            <w:pPr>
              <w:pStyle w:val="Infotext"/>
            </w:pPr>
          </w:p>
        </w:tc>
      </w:tr>
    </w:tbl>
    <w:p w:rsidR="00333FAA" w:rsidRPr="002548D1" w:rsidRDefault="00333FAA" w:rsidP="002548D1">
      <w:pPr>
        <w:ind w:left="360" w:hanging="360"/>
        <w:jc w:val="both"/>
        <w:rPr>
          <w:rFonts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383"/>
        <w:gridCol w:w="234"/>
        <w:gridCol w:w="3604"/>
      </w:tblGrid>
      <w:tr w:rsidR="007116B1" w:rsidTr="005F4153">
        <w:tc>
          <w:tcPr>
            <w:tcW w:w="4304" w:type="dxa"/>
            <w:tcBorders>
              <w:bottom w:val="nil"/>
              <w:right w:val="nil"/>
            </w:tcBorders>
          </w:tcPr>
          <w:p w:rsidR="00321FBB" w:rsidRDefault="00321FBB" w:rsidP="004809FA">
            <w:pPr>
              <w:pStyle w:val="Infotext"/>
            </w:pPr>
          </w:p>
          <w:p w:rsidR="00321FBB" w:rsidRDefault="00321FBB" w:rsidP="004809FA">
            <w:pPr>
              <w:pStyle w:val="Infotext"/>
            </w:pPr>
          </w:p>
        </w:tc>
        <w:tc>
          <w:tcPr>
            <w:tcW w:w="383" w:type="dxa"/>
            <w:tcBorders>
              <w:left w:val="nil"/>
              <w:right w:val="nil"/>
            </w:tcBorders>
          </w:tcPr>
          <w:p w:rsidR="00321FBB" w:rsidRDefault="00321FBB" w:rsidP="004809FA">
            <w:pPr>
              <w:pStyle w:val="Infotext"/>
            </w:pPr>
          </w:p>
        </w:tc>
        <w:tc>
          <w:tcPr>
            <w:tcW w:w="234" w:type="dxa"/>
            <w:tcBorders>
              <w:left w:val="nil"/>
              <w:bottom w:val="nil"/>
              <w:right w:val="nil"/>
            </w:tcBorders>
          </w:tcPr>
          <w:p w:rsidR="00321FBB" w:rsidRDefault="00321FBB" w:rsidP="004809FA">
            <w:pPr>
              <w:pStyle w:val="Infotext"/>
            </w:pPr>
          </w:p>
        </w:tc>
        <w:tc>
          <w:tcPr>
            <w:tcW w:w="3604" w:type="dxa"/>
            <w:tcBorders>
              <w:left w:val="nil"/>
              <w:bottom w:val="nil"/>
            </w:tcBorders>
          </w:tcPr>
          <w:p w:rsidR="00321FBB" w:rsidRDefault="00321FBB" w:rsidP="004809FA">
            <w:pPr>
              <w:pStyle w:val="Infotext"/>
            </w:pPr>
          </w:p>
          <w:p w:rsidR="00321FBB" w:rsidRDefault="00321FBB" w:rsidP="00321FBB">
            <w:pPr>
              <w:pStyle w:val="Infotext"/>
            </w:pPr>
            <w:r>
              <w:t>on behalf of the</w:t>
            </w:r>
            <w:r w:rsidR="004553F1">
              <w:t xml:space="preserve"> *</w:t>
            </w:r>
            <w:r>
              <w:t xml:space="preserve"> </w:t>
            </w:r>
          </w:p>
        </w:tc>
      </w:tr>
      <w:tr w:rsidR="007116B1" w:rsidTr="005F4153">
        <w:tc>
          <w:tcPr>
            <w:tcW w:w="4304" w:type="dxa"/>
            <w:tcBorders>
              <w:top w:val="nil"/>
              <w:bottom w:val="nil"/>
            </w:tcBorders>
          </w:tcPr>
          <w:p w:rsidR="00321FBB" w:rsidRDefault="00321FBB" w:rsidP="00A20D78">
            <w:pPr>
              <w:pStyle w:val="Infotext"/>
            </w:pPr>
            <w:r>
              <w:t xml:space="preserve">Name: </w:t>
            </w:r>
            <w:r w:rsidR="00A20D78">
              <w:t xml:space="preserve"> </w:t>
            </w:r>
            <w:r w:rsidR="002D0E5E">
              <w:t>Nimesh Mehta</w:t>
            </w:r>
          </w:p>
        </w:tc>
        <w:tc>
          <w:tcPr>
            <w:tcW w:w="383" w:type="dxa"/>
            <w:tcBorders>
              <w:bottom w:val="single" w:sz="4" w:space="0" w:color="auto"/>
            </w:tcBorders>
          </w:tcPr>
          <w:p w:rsidR="00321FBB" w:rsidRDefault="002D0E5E" w:rsidP="004809FA">
            <w:pPr>
              <w:pStyle w:val="Infotext"/>
            </w:pPr>
            <w:r>
              <w:t>x</w:t>
            </w:r>
          </w:p>
        </w:tc>
        <w:tc>
          <w:tcPr>
            <w:tcW w:w="234" w:type="dxa"/>
            <w:tcBorders>
              <w:top w:val="nil"/>
              <w:bottom w:val="nil"/>
              <w:right w:val="nil"/>
            </w:tcBorders>
          </w:tcPr>
          <w:p w:rsidR="00321FBB" w:rsidRDefault="00321FBB" w:rsidP="004809FA">
            <w:pPr>
              <w:pStyle w:val="Infotext"/>
            </w:pPr>
          </w:p>
        </w:tc>
        <w:tc>
          <w:tcPr>
            <w:tcW w:w="3604" w:type="dxa"/>
            <w:tcBorders>
              <w:top w:val="nil"/>
              <w:left w:val="nil"/>
              <w:bottom w:val="nil"/>
            </w:tcBorders>
          </w:tcPr>
          <w:p w:rsidR="00321FBB" w:rsidRDefault="007116B1" w:rsidP="007116B1">
            <w:pPr>
              <w:pStyle w:val="Infotext"/>
            </w:pPr>
            <w:r>
              <w:t>Head of Procurement</w:t>
            </w:r>
          </w:p>
        </w:tc>
      </w:tr>
      <w:tr w:rsidR="007116B1" w:rsidTr="005F4153">
        <w:tc>
          <w:tcPr>
            <w:tcW w:w="4304" w:type="dxa"/>
            <w:tcBorders>
              <w:top w:val="nil"/>
              <w:right w:val="nil"/>
            </w:tcBorders>
          </w:tcPr>
          <w:p w:rsidR="00321FBB" w:rsidRDefault="00321FBB" w:rsidP="004809FA">
            <w:pPr>
              <w:pStyle w:val="Infotext"/>
            </w:pPr>
            <w:r>
              <w:t xml:space="preserve"> </w:t>
            </w:r>
          </w:p>
          <w:p w:rsidR="00321FBB" w:rsidRDefault="00321FBB" w:rsidP="00A20D78">
            <w:pPr>
              <w:pStyle w:val="Infotext"/>
            </w:pPr>
            <w:r>
              <w:t xml:space="preserve">Date: </w:t>
            </w:r>
            <w:r w:rsidR="00A20D78">
              <w:t xml:space="preserve"> </w:t>
            </w:r>
            <w:r w:rsidR="002D0E5E">
              <w:t>25 November 2019</w:t>
            </w:r>
          </w:p>
        </w:tc>
        <w:tc>
          <w:tcPr>
            <w:tcW w:w="383" w:type="dxa"/>
            <w:tcBorders>
              <w:left w:val="nil"/>
              <w:bottom w:val="single" w:sz="4" w:space="0" w:color="auto"/>
              <w:right w:val="nil"/>
            </w:tcBorders>
          </w:tcPr>
          <w:p w:rsidR="00321FBB" w:rsidRDefault="00321FBB" w:rsidP="004809FA">
            <w:pPr>
              <w:pStyle w:val="Infotext"/>
            </w:pPr>
          </w:p>
        </w:tc>
        <w:tc>
          <w:tcPr>
            <w:tcW w:w="234" w:type="dxa"/>
            <w:tcBorders>
              <w:top w:val="nil"/>
              <w:left w:val="nil"/>
              <w:right w:val="nil"/>
            </w:tcBorders>
          </w:tcPr>
          <w:p w:rsidR="00321FBB" w:rsidRDefault="00321FBB" w:rsidP="004809FA">
            <w:pPr>
              <w:pStyle w:val="Infotext"/>
            </w:pPr>
          </w:p>
        </w:tc>
        <w:tc>
          <w:tcPr>
            <w:tcW w:w="3604" w:type="dxa"/>
            <w:tcBorders>
              <w:top w:val="nil"/>
              <w:left w:val="nil"/>
            </w:tcBorders>
          </w:tcPr>
          <w:p w:rsidR="00321FBB" w:rsidRDefault="00321FBB" w:rsidP="004809FA">
            <w:pPr>
              <w:pStyle w:val="Infotext"/>
            </w:pPr>
          </w:p>
        </w:tc>
      </w:tr>
    </w:tbl>
    <w:p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68"/>
        <w:gridCol w:w="234"/>
        <w:gridCol w:w="3606"/>
      </w:tblGrid>
      <w:tr w:rsidR="00435B5D" w:rsidTr="002D0E5E">
        <w:tc>
          <w:tcPr>
            <w:tcW w:w="4317" w:type="dxa"/>
            <w:tcBorders>
              <w:bottom w:val="nil"/>
              <w:right w:val="nil"/>
            </w:tcBorders>
          </w:tcPr>
          <w:p w:rsidR="00435B5D" w:rsidRDefault="00435B5D" w:rsidP="004F54BD">
            <w:pPr>
              <w:pStyle w:val="Infotext"/>
            </w:pPr>
          </w:p>
          <w:p w:rsidR="00435B5D" w:rsidRDefault="00435B5D" w:rsidP="004F54BD">
            <w:pPr>
              <w:pStyle w:val="Infotext"/>
            </w:pPr>
          </w:p>
        </w:tc>
        <w:tc>
          <w:tcPr>
            <w:tcW w:w="368" w:type="dxa"/>
            <w:tcBorders>
              <w:left w:val="nil"/>
              <w:right w:val="nil"/>
            </w:tcBorders>
          </w:tcPr>
          <w:p w:rsidR="00435B5D" w:rsidRDefault="00435B5D" w:rsidP="004F54BD">
            <w:pPr>
              <w:pStyle w:val="Infotext"/>
            </w:pPr>
          </w:p>
        </w:tc>
        <w:tc>
          <w:tcPr>
            <w:tcW w:w="234" w:type="dxa"/>
            <w:tcBorders>
              <w:left w:val="nil"/>
              <w:bottom w:val="nil"/>
              <w:right w:val="nil"/>
            </w:tcBorders>
          </w:tcPr>
          <w:p w:rsidR="00435B5D" w:rsidRDefault="00435B5D" w:rsidP="004F54BD">
            <w:pPr>
              <w:pStyle w:val="Infotext"/>
            </w:pPr>
          </w:p>
        </w:tc>
        <w:tc>
          <w:tcPr>
            <w:tcW w:w="3606" w:type="dxa"/>
            <w:tcBorders>
              <w:left w:val="nil"/>
              <w:bottom w:val="nil"/>
            </w:tcBorders>
          </w:tcPr>
          <w:p w:rsidR="00435B5D" w:rsidRDefault="00435B5D" w:rsidP="004F54BD">
            <w:pPr>
              <w:pStyle w:val="Infotext"/>
            </w:pPr>
          </w:p>
          <w:p w:rsidR="00435B5D" w:rsidRDefault="00435B5D" w:rsidP="004F54BD">
            <w:pPr>
              <w:pStyle w:val="Infotext"/>
            </w:pPr>
          </w:p>
        </w:tc>
      </w:tr>
      <w:tr w:rsidR="00435B5D" w:rsidTr="002D0E5E">
        <w:tc>
          <w:tcPr>
            <w:tcW w:w="4317" w:type="dxa"/>
            <w:tcBorders>
              <w:top w:val="nil"/>
              <w:bottom w:val="nil"/>
            </w:tcBorders>
          </w:tcPr>
          <w:p w:rsidR="00435B5D" w:rsidRDefault="00435B5D" w:rsidP="00EE254D">
            <w:pPr>
              <w:pStyle w:val="Infotext"/>
            </w:pPr>
            <w:r>
              <w:t xml:space="preserve">Name: </w:t>
            </w:r>
            <w:r w:rsidR="00A20D78">
              <w:t xml:space="preserve"> </w:t>
            </w:r>
            <w:r w:rsidR="002D0E5E">
              <w:t>Charlie St</w:t>
            </w:r>
            <w:r w:rsidR="00EE254D">
              <w:t>ewart</w:t>
            </w:r>
          </w:p>
        </w:tc>
        <w:tc>
          <w:tcPr>
            <w:tcW w:w="368" w:type="dxa"/>
            <w:tcBorders>
              <w:bottom w:val="single" w:sz="4" w:space="0" w:color="auto"/>
            </w:tcBorders>
          </w:tcPr>
          <w:p w:rsidR="00435B5D" w:rsidRDefault="002D0E5E" w:rsidP="004F54BD">
            <w:pPr>
              <w:pStyle w:val="Infotext"/>
            </w:pPr>
            <w:r>
              <w:t>x</w:t>
            </w:r>
          </w:p>
        </w:tc>
        <w:tc>
          <w:tcPr>
            <w:tcW w:w="234" w:type="dxa"/>
            <w:tcBorders>
              <w:top w:val="nil"/>
              <w:bottom w:val="nil"/>
              <w:right w:val="nil"/>
            </w:tcBorders>
          </w:tcPr>
          <w:p w:rsidR="00435B5D" w:rsidRDefault="00435B5D" w:rsidP="004F54BD">
            <w:pPr>
              <w:pStyle w:val="Infotext"/>
            </w:pPr>
          </w:p>
        </w:tc>
        <w:tc>
          <w:tcPr>
            <w:tcW w:w="3606" w:type="dxa"/>
            <w:tcBorders>
              <w:top w:val="nil"/>
              <w:left w:val="nil"/>
              <w:bottom w:val="nil"/>
            </w:tcBorders>
          </w:tcPr>
          <w:p w:rsidR="00435B5D" w:rsidRDefault="00435B5D" w:rsidP="004F54BD">
            <w:pPr>
              <w:pStyle w:val="Infotext"/>
            </w:pPr>
            <w:r>
              <w:t>Corporate Director</w:t>
            </w:r>
          </w:p>
        </w:tc>
      </w:tr>
      <w:tr w:rsidR="00435B5D" w:rsidTr="002D0E5E">
        <w:tc>
          <w:tcPr>
            <w:tcW w:w="4317" w:type="dxa"/>
            <w:tcBorders>
              <w:top w:val="nil"/>
              <w:right w:val="nil"/>
            </w:tcBorders>
          </w:tcPr>
          <w:p w:rsidR="00435B5D" w:rsidRDefault="00435B5D" w:rsidP="004F54BD">
            <w:pPr>
              <w:pStyle w:val="Infotext"/>
            </w:pPr>
            <w:r>
              <w:t xml:space="preserve"> </w:t>
            </w:r>
          </w:p>
          <w:p w:rsidR="00435B5D" w:rsidRDefault="00435B5D" w:rsidP="00A20D78">
            <w:pPr>
              <w:pStyle w:val="Infotext"/>
            </w:pPr>
            <w:r>
              <w:t xml:space="preserve">Date: </w:t>
            </w:r>
            <w:r w:rsidR="00A20D78">
              <w:t xml:space="preserve"> </w:t>
            </w:r>
            <w:r w:rsidR="002D0E5E">
              <w:t>25 November 2019</w:t>
            </w:r>
          </w:p>
        </w:tc>
        <w:tc>
          <w:tcPr>
            <w:tcW w:w="368" w:type="dxa"/>
            <w:tcBorders>
              <w:left w:val="nil"/>
              <w:bottom w:val="single" w:sz="4" w:space="0" w:color="auto"/>
              <w:right w:val="nil"/>
            </w:tcBorders>
          </w:tcPr>
          <w:p w:rsidR="00435B5D" w:rsidRDefault="00435B5D" w:rsidP="004F54BD">
            <w:pPr>
              <w:pStyle w:val="Infotext"/>
            </w:pPr>
          </w:p>
        </w:tc>
        <w:tc>
          <w:tcPr>
            <w:tcW w:w="234" w:type="dxa"/>
            <w:tcBorders>
              <w:top w:val="nil"/>
              <w:left w:val="nil"/>
              <w:right w:val="nil"/>
            </w:tcBorders>
          </w:tcPr>
          <w:p w:rsidR="00435B5D" w:rsidRDefault="00435B5D" w:rsidP="004F54BD">
            <w:pPr>
              <w:pStyle w:val="Infotext"/>
            </w:pPr>
          </w:p>
        </w:tc>
        <w:tc>
          <w:tcPr>
            <w:tcW w:w="3606" w:type="dxa"/>
            <w:tcBorders>
              <w:top w:val="nil"/>
              <w:left w:val="nil"/>
            </w:tcBorders>
          </w:tcPr>
          <w:p w:rsidR="00435B5D" w:rsidRDefault="00435B5D" w:rsidP="004F54BD">
            <w:pPr>
              <w:pStyle w:val="Infotext"/>
            </w:pPr>
          </w:p>
        </w:tc>
      </w:tr>
    </w:tbl>
    <w:p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Default="00333FAA" w:rsidP="00A53B04">
            <w:pPr>
              <w:pStyle w:val="Infotext"/>
              <w:rPr>
                <w:rFonts w:ascii="Arial Black" w:hAnsi="Arial Black"/>
              </w:rPr>
            </w:pPr>
            <w:r>
              <w:rPr>
                <w:rFonts w:ascii="Arial Black" w:hAnsi="Arial Black"/>
              </w:rPr>
              <w:t>Ward Councillors notified:</w:t>
            </w:r>
          </w:p>
          <w:p w:rsidR="00333FAA" w:rsidRPr="00BD2E91" w:rsidRDefault="00333FAA" w:rsidP="00A53B04">
            <w:pPr>
              <w:pStyle w:val="Infotext"/>
              <w:rPr>
                <w:color w:val="FF0000"/>
              </w:rPr>
            </w:pPr>
          </w:p>
        </w:tc>
        <w:tc>
          <w:tcPr>
            <w:tcW w:w="1975" w:type="pct"/>
            <w:tcBorders>
              <w:left w:val="nil"/>
            </w:tcBorders>
          </w:tcPr>
          <w:p w:rsidR="00333FAA" w:rsidRDefault="00333FAA" w:rsidP="00A53B04">
            <w:pPr>
              <w:pStyle w:val="Infotext"/>
            </w:pPr>
          </w:p>
          <w:p w:rsidR="00333FAA" w:rsidRDefault="00333FAA" w:rsidP="002D0E5E">
            <w:pPr>
              <w:pStyle w:val="Infotext"/>
              <w:spacing w:before="120"/>
              <w:rPr>
                <w:i/>
                <w:sz w:val="24"/>
                <w:szCs w:val="24"/>
              </w:rPr>
            </w:pPr>
            <w:r w:rsidRPr="00A406F3">
              <w:rPr>
                <w:b/>
              </w:rPr>
              <w:t>NO</w:t>
            </w:r>
            <w:r>
              <w:rPr>
                <w:i/>
                <w:sz w:val="24"/>
                <w:szCs w:val="24"/>
              </w:rPr>
              <w:t xml:space="preserve">. </w:t>
            </w:r>
          </w:p>
          <w:p w:rsidR="00333FAA" w:rsidRPr="003D78F6" w:rsidRDefault="00333FAA" w:rsidP="00A53B04">
            <w:pPr>
              <w:pStyle w:val="Infotext"/>
              <w:ind w:left="173"/>
              <w:rPr>
                <w:i/>
                <w:sz w:val="24"/>
                <w:szCs w:val="24"/>
              </w:rPr>
            </w:pPr>
          </w:p>
        </w:tc>
      </w:tr>
      <w:tr w:rsidR="00333FAA" w:rsidRPr="00303FD6">
        <w:trPr>
          <w:trHeight w:val="965"/>
        </w:trPr>
        <w:tc>
          <w:tcPr>
            <w:tcW w:w="3025" w:type="pct"/>
            <w:tcBorders>
              <w:right w:val="nil"/>
            </w:tcBorders>
          </w:tcPr>
          <w:p w:rsidR="00333FAA" w:rsidRDefault="00333FAA" w:rsidP="00A53B04">
            <w:pPr>
              <w:pStyle w:val="Infotext"/>
              <w:rPr>
                <w:rFonts w:ascii="Arial Black" w:hAnsi="Arial Black"/>
                <w:color w:val="FF0000"/>
              </w:rPr>
            </w:pPr>
          </w:p>
          <w:p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rsidR="00333FAA" w:rsidRPr="00202D79" w:rsidRDefault="00333FAA" w:rsidP="00A53B04">
            <w:pPr>
              <w:pStyle w:val="Infotext"/>
              <w:rPr>
                <w:rFonts w:ascii="Arial Black" w:hAnsi="Arial Black"/>
              </w:rPr>
            </w:pPr>
          </w:p>
          <w:p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rsidR="00333FAA" w:rsidRDefault="00333FAA" w:rsidP="00A53B04">
            <w:pPr>
              <w:pStyle w:val="Infotext"/>
              <w:rPr>
                <w:b/>
                <w:color w:val="FF0000"/>
              </w:rPr>
            </w:pPr>
          </w:p>
          <w:p w:rsidR="00333FAA" w:rsidRPr="00202D79" w:rsidRDefault="00333FAA" w:rsidP="00A53B04">
            <w:pPr>
              <w:pStyle w:val="Infotext"/>
              <w:rPr>
                <w:b/>
              </w:rPr>
            </w:pPr>
            <w:r w:rsidRPr="00202D79">
              <w:rPr>
                <w:b/>
              </w:rPr>
              <w:t>NO</w:t>
            </w:r>
          </w:p>
          <w:p w:rsidR="00333FAA" w:rsidRDefault="00333FAA" w:rsidP="00333FAA">
            <w:pPr>
              <w:pStyle w:val="Infotext"/>
              <w:rPr>
                <w:i/>
                <w:sz w:val="24"/>
                <w:szCs w:val="24"/>
              </w:rPr>
            </w:pPr>
            <w:r>
              <w:rPr>
                <w:i/>
                <w:sz w:val="24"/>
                <w:szCs w:val="24"/>
              </w:rPr>
              <w:t xml:space="preserve"> </w:t>
            </w:r>
          </w:p>
          <w:p w:rsidR="00333FAA" w:rsidRPr="00303FD6" w:rsidRDefault="00333FAA" w:rsidP="00A53B04">
            <w:pPr>
              <w:pStyle w:val="Infotext"/>
              <w:rPr>
                <w:b/>
                <w:color w:val="FF0000"/>
              </w:rPr>
            </w:pPr>
          </w:p>
          <w:p w:rsidR="00333FAA" w:rsidRPr="00303FD6" w:rsidRDefault="002D0E5E" w:rsidP="002D0E5E">
            <w:pPr>
              <w:pStyle w:val="Infotext"/>
              <w:rPr>
                <w:color w:val="FF0000"/>
              </w:rPr>
            </w:pPr>
            <w:r>
              <w:t>N/A</w:t>
            </w:r>
          </w:p>
        </w:tc>
      </w:tr>
    </w:tbl>
    <w:p w:rsidR="00333FAA" w:rsidRDefault="00333FAA" w:rsidP="00333FAA"/>
    <w:p w:rsidR="00333FAA" w:rsidRDefault="00333FAA" w:rsidP="00333FAA">
      <w:pPr>
        <w:pStyle w:val="Heading1"/>
        <w:keepNext/>
      </w:pPr>
      <w:r>
        <w:t xml:space="preserve">Section </w:t>
      </w:r>
      <w:r w:rsidR="00A20113">
        <w:t>4</w:t>
      </w:r>
      <w:r>
        <w:t xml:space="preserve"> - Contact Details and Background Papers</w:t>
      </w:r>
    </w:p>
    <w:p w:rsidR="005F4153" w:rsidRPr="0029068F" w:rsidRDefault="005F4153" w:rsidP="005F4153">
      <w:pPr>
        <w:keepNext/>
        <w:rPr>
          <w:rFonts w:cs="Arial"/>
        </w:rPr>
      </w:pPr>
      <w:r w:rsidRPr="0029068F">
        <w:rPr>
          <w:rFonts w:cs="Arial"/>
        </w:rPr>
        <w:t xml:space="preserve">Contact:  </w:t>
      </w:r>
    </w:p>
    <w:p w:rsidR="005F4153" w:rsidRPr="0029068F" w:rsidRDefault="005F4153" w:rsidP="005F4153">
      <w:pPr>
        <w:keepNext/>
        <w:rPr>
          <w:rFonts w:cs="Arial"/>
        </w:rPr>
      </w:pPr>
      <w:r w:rsidRPr="0029068F">
        <w:rPr>
          <w:rFonts w:cs="Arial"/>
        </w:rPr>
        <w:t>Fern Silverio (Head of Service – Collections &amp; Housing Benefits),</w:t>
      </w:r>
    </w:p>
    <w:p w:rsidR="005F4153" w:rsidRDefault="005F4153" w:rsidP="005F4153">
      <w:pPr>
        <w:keepNext/>
        <w:rPr>
          <w:rFonts w:cs="Arial"/>
        </w:rPr>
      </w:pPr>
      <w:r w:rsidRPr="0029068F">
        <w:rPr>
          <w:rFonts w:cs="Arial"/>
        </w:rPr>
        <w:t xml:space="preserve">Tel: 020-8736-6818 / email: </w:t>
      </w:r>
      <w:hyperlink r:id="rId16" w:history="1">
        <w:r w:rsidR="00A93C4F" w:rsidRPr="0001734E">
          <w:rPr>
            <w:rStyle w:val="Hyperlink"/>
            <w:rFonts w:cs="Arial"/>
          </w:rPr>
          <w:t>fern.silverio@harrow.gov.uk</w:t>
        </w:r>
      </w:hyperlink>
    </w:p>
    <w:p w:rsidR="005F4153" w:rsidRPr="0029068F" w:rsidRDefault="005F4153" w:rsidP="005F4153">
      <w:pPr>
        <w:keepNext/>
        <w:rPr>
          <w:rFonts w:cs="Arial"/>
        </w:rPr>
      </w:pPr>
    </w:p>
    <w:p w:rsidR="005F4153" w:rsidRPr="0029068F" w:rsidRDefault="005F4153" w:rsidP="005F4153">
      <w:pPr>
        <w:keepNext/>
        <w:rPr>
          <w:rFonts w:cs="Arial"/>
          <w:b/>
          <w:sz w:val="28"/>
          <w:szCs w:val="28"/>
        </w:rPr>
      </w:pPr>
      <w:r w:rsidRPr="0029068F">
        <w:rPr>
          <w:rFonts w:cs="Arial"/>
          <w:b/>
          <w:sz w:val="28"/>
          <w:szCs w:val="28"/>
        </w:rPr>
        <w:t xml:space="preserve">Background Papers: </w:t>
      </w:r>
    </w:p>
    <w:p w:rsidR="005F4153" w:rsidRDefault="005F4153" w:rsidP="005F4153">
      <w:pPr>
        <w:keepNext/>
        <w:rPr>
          <w:rFonts w:cs="Arial"/>
        </w:rPr>
      </w:pPr>
      <w:r w:rsidRPr="0029068F">
        <w:rPr>
          <w:rFonts w:cs="Arial"/>
        </w:rPr>
        <w:t>None</w:t>
      </w:r>
    </w:p>
    <w:p w:rsidR="005F4153" w:rsidRDefault="005F4153" w:rsidP="005F41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rsidR="00333FAA" w:rsidRDefault="00333FAA" w:rsidP="00E66229">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 xml:space="preserve">NO </w:t>
            </w:r>
          </w:p>
          <w:p w:rsidR="00333FAA" w:rsidRDefault="00333FAA" w:rsidP="00A53B04">
            <w:pPr>
              <w:pStyle w:val="Infotext"/>
            </w:pPr>
          </w:p>
          <w:p w:rsidR="00333FAA" w:rsidRDefault="00333FAA" w:rsidP="00A53B04">
            <w:pPr>
              <w:pStyle w:val="Infotext"/>
            </w:pPr>
          </w:p>
          <w:p w:rsidR="0017653E" w:rsidRPr="0017653E" w:rsidRDefault="0017653E" w:rsidP="0017653E">
            <w:pPr>
              <w:pStyle w:val="Infotext"/>
              <w:ind w:left="173"/>
              <w:rPr>
                <w:rFonts w:cs="Arial"/>
                <w:i/>
                <w:sz w:val="24"/>
                <w:szCs w:val="24"/>
                <w:lang w:eastAsia="en-GB"/>
              </w:rPr>
            </w:pPr>
          </w:p>
        </w:tc>
      </w:tr>
    </w:tbl>
    <w:p w:rsidR="005F4153" w:rsidRDefault="005F4153" w:rsidP="001614E0"/>
    <w:sectPr w:rsidR="005F4153"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2">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63AE4CB7"/>
    <w:multiLevelType w:val="hybridMultilevel"/>
    <w:tmpl w:val="85B0201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A02A07"/>
    <w:multiLevelType w:val="hybridMultilevel"/>
    <w:tmpl w:val="4B14A342"/>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5"/>
  </w:num>
  <w:num w:numId="2">
    <w:abstractNumId w:val="8"/>
  </w:num>
  <w:num w:numId="3">
    <w:abstractNumId w:val="6"/>
  </w:num>
  <w:num w:numId="4">
    <w:abstractNumId w:val="4"/>
  </w:num>
  <w:num w:numId="5">
    <w:abstractNumId w:val="11"/>
  </w:num>
  <w:num w:numId="6">
    <w:abstractNumId w:val="3"/>
  </w:num>
  <w:num w:numId="7">
    <w:abstractNumId w:val="1"/>
  </w:num>
  <w:num w:numId="8">
    <w:abstractNumId w:val="2"/>
  </w:num>
  <w:num w:numId="9">
    <w:abstractNumId w:val="0"/>
  </w:num>
  <w:num w:numId="10">
    <w:abstractNumId w:val="9"/>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516A3"/>
    <w:rsid w:val="0006034E"/>
    <w:rsid w:val="00063783"/>
    <w:rsid w:val="00073765"/>
    <w:rsid w:val="000929A6"/>
    <w:rsid w:val="000B5015"/>
    <w:rsid w:val="000B788F"/>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42446"/>
    <w:rsid w:val="00251254"/>
    <w:rsid w:val="002548D1"/>
    <w:rsid w:val="0026024D"/>
    <w:rsid w:val="0027283B"/>
    <w:rsid w:val="0028019B"/>
    <w:rsid w:val="00283CAB"/>
    <w:rsid w:val="002A3FEF"/>
    <w:rsid w:val="002B54A6"/>
    <w:rsid w:val="002D0E5E"/>
    <w:rsid w:val="002F3EE9"/>
    <w:rsid w:val="00307F76"/>
    <w:rsid w:val="00321FBB"/>
    <w:rsid w:val="00333FAA"/>
    <w:rsid w:val="003355D7"/>
    <w:rsid w:val="003507C9"/>
    <w:rsid w:val="0036201C"/>
    <w:rsid w:val="00376768"/>
    <w:rsid w:val="003B6A4E"/>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718B5"/>
    <w:rsid w:val="005808FB"/>
    <w:rsid w:val="00582605"/>
    <w:rsid w:val="00591016"/>
    <w:rsid w:val="005B3F67"/>
    <w:rsid w:val="005D548F"/>
    <w:rsid w:val="005D6EF5"/>
    <w:rsid w:val="005E3A10"/>
    <w:rsid w:val="005E7509"/>
    <w:rsid w:val="005F4153"/>
    <w:rsid w:val="00645B8B"/>
    <w:rsid w:val="00655044"/>
    <w:rsid w:val="00666922"/>
    <w:rsid w:val="00670F17"/>
    <w:rsid w:val="006710C7"/>
    <w:rsid w:val="00696A83"/>
    <w:rsid w:val="006A6E6E"/>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2CEF"/>
    <w:rsid w:val="00955421"/>
    <w:rsid w:val="00990E9C"/>
    <w:rsid w:val="00994542"/>
    <w:rsid w:val="00994908"/>
    <w:rsid w:val="009A1DE8"/>
    <w:rsid w:val="009B160B"/>
    <w:rsid w:val="009C237B"/>
    <w:rsid w:val="009E5A93"/>
    <w:rsid w:val="00A20113"/>
    <w:rsid w:val="00A20D78"/>
    <w:rsid w:val="00A2215F"/>
    <w:rsid w:val="00A22839"/>
    <w:rsid w:val="00A23E19"/>
    <w:rsid w:val="00A33185"/>
    <w:rsid w:val="00A53B04"/>
    <w:rsid w:val="00A661F4"/>
    <w:rsid w:val="00A7271A"/>
    <w:rsid w:val="00A81E19"/>
    <w:rsid w:val="00A93C4F"/>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57267"/>
    <w:rsid w:val="00C62B63"/>
    <w:rsid w:val="00C72B5B"/>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C7FD5"/>
    <w:rsid w:val="00DD7468"/>
    <w:rsid w:val="00DE25E9"/>
    <w:rsid w:val="00DE71D3"/>
    <w:rsid w:val="00DE72CF"/>
    <w:rsid w:val="00DF08A0"/>
    <w:rsid w:val="00E66229"/>
    <w:rsid w:val="00E70760"/>
    <w:rsid w:val="00E9253C"/>
    <w:rsid w:val="00EB45B5"/>
    <w:rsid w:val="00EB5E57"/>
    <w:rsid w:val="00EB61DB"/>
    <w:rsid w:val="00ED4AFD"/>
    <w:rsid w:val="00EE254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ern.silverio@harrow.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e48e9339-ef40-4192-ab59-a15ba5582753"/>
    <ds:schemaRef ds:uri="54c1341a-f0b2-450a-9883-97eea039321e"/>
    <ds:schemaRef ds:uri="http://purl.org/dc/term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411309-D6F9-4CD2-BC48-9E61BDD8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2451</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15780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3</cp:revision>
  <cp:lastPrinted>2014-10-31T16:34:00Z</cp:lastPrinted>
  <dcterms:created xsi:type="dcterms:W3CDTF">2019-12-19T14:47:00Z</dcterms:created>
  <dcterms:modified xsi:type="dcterms:W3CDTF">2019-12-19T15:45:00Z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